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filename1.htm"/>
      <w:bookmarkStart w:id="1" w:name="ksfilename1"/>
      <w:bookmarkEnd w:id="0"/>
      <w:bookmarkEnd w:id="1"/>
      <w:r>
        <w:rPr>
          <w:rFonts w:ascii="Times New Roman" w:hAnsi="Times New Roman"/>
          <w:b/>
          <w:sz w:val="20"/>
        </w:rPr>
        <w:t xml:space="preserve">CUE BIOPHARMA, INC. </w:t>
      </w:r>
    </w:p>
    <w:p>
      <w:pPr>
        <w:pStyle w:val="TextBody"/>
        <w:bidi w:val="0"/>
        <w:spacing w:before="0" w:after="0"/>
        <w:jc w:val="center"/>
        <w:rPr>
          <w:rFonts w:ascii="Times New Roman" w:hAnsi="Times New Roman"/>
          <w:sz w:val="20"/>
        </w:rPr>
      </w:pPr>
      <w:r>
        <w:rPr>
          <w:rFonts w:ascii="Times New Roman" w:hAnsi="Times New Roman"/>
          <w:sz w:val="20"/>
        </w:rPr>
        <w:t xml:space="preserve">40 Guest Street </w:t>
      </w:r>
    </w:p>
    <w:p>
      <w:pPr>
        <w:pStyle w:val="TextBody"/>
        <w:bidi w:val="0"/>
        <w:spacing w:before="0" w:after="0"/>
        <w:jc w:val="center"/>
        <w:rPr>
          <w:rFonts w:ascii="Times New Roman" w:hAnsi="Times New Roman"/>
          <w:sz w:val="20"/>
        </w:rPr>
      </w:pPr>
      <w:r>
        <w:rPr>
          <w:rFonts w:ascii="Times New Roman" w:hAnsi="Times New Roman"/>
          <w:sz w:val="20"/>
        </w:rPr>
        <w:t xml:space="preserve">Boston, Massachusetts 02135 </w:t>
      </w:r>
    </w:p>
    <w:p>
      <w:pPr>
        <w:pStyle w:val="TextBody"/>
        <w:bidi w:val="0"/>
        <w:spacing w:before="240" w:after="0"/>
        <w:jc w:val="left"/>
        <w:rPr>
          <w:rFonts w:ascii="Times New Roman" w:hAnsi="Times New Roman"/>
          <w:sz w:val="20"/>
        </w:rPr>
      </w:pPr>
      <w:r>
        <w:rPr>
          <w:rFonts w:ascii="Times New Roman" w:hAnsi="Times New Roman"/>
          <w:sz w:val="20"/>
        </w:rPr>
        <w:t xml:space="preserve">August 18, 2026 </w:t>
      </w:r>
    </w:p>
    <w:p>
      <w:pPr>
        <w:pStyle w:val="TextBody"/>
        <w:bidi w:val="0"/>
        <w:spacing w:before="240" w:after="0"/>
        <w:jc w:val="right"/>
        <w:rPr>
          <w:rFonts w:ascii="Times New Roman" w:hAnsi="Times New Roman"/>
          <w:sz w:val="20"/>
        </w:rPr>
      </w:pPr>
      <w:r>
        <w:rPr>
          <w:rFonts w:ascii="Times New Roman" w:hAnsi="Times New Roman"/>
          <w:sz w:val="20"/>
        </w:rPr>
        <w:t xml:space="preserve">Via EDGAR </w:t>
      </w:r>
    </w:p>
    <w:p>
      <w:pPr>
        <w:pStyle w:val="TextBody"/>
        <w:bidi w:val="0"/>
        <w:spacing w:before="240" w:after="0"/>
        <w:jc w:val="left"/>
        <w:rPr>
          <w:rFonts w:ascii="Times New Roman" w:hAnsi="Times New Roman"/>
          <w:sz w:val="20"/>
        </w:rPr>
      </w:pPr>
      <w:r>
        <w:rPr>
          <w:rFonts w:ascii="Times New Roman" w:hAnsi="Times New Roman"/>
          <w:sz w:val="20"/>
        </w:rPr>
        <w:t xml:space="preserve">U.S. 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Division of Corporation Finance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p>
      <w:pPr>
        <w:pStyle w:val="TextBody"/>
        <w:bidi w:val="0"/>
        <w:spacing w:before="0" w:after="0"/>
        <w:jc w:val="left"/>
        <w:rPr>
          <w:rFonts w:ascii="Times New Roman" w:hAnsi="Times New Roman"/>
          <w:sz w:val="20"/>
        </w:rPr>
      </w:pPr>
      <w:r>
        <w:rPr>
          <w:rFonts w:ascii="Times New Roman" w:hAnsi="Times New Roman"/>
          <w:sz w:val="20"/>
        </w:rPr>
        <w:t xml:space="preserve">Attn: Tim Buchmiller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Cue Biopharma, Inc.</w:t>
            </w:r>
            <w:r>
              <w:rPr>
                <w:rFonts w:ascii="Times New Roman" w:hAnsi="Times New Roman"/>
                <w:sz w:val="20"/>
              </w:rPr>
              <w:t xml:space="preserve"> </w:t>
            </w:r>
          </w:p>
        </w:tc>
      </w:tr>
    </w:tbl>
    <w:p>
      <w:pPr>
        <w:pStyle w:val="TextBody"/>
        <w:bidi w:val="0"/>
        <w:spacing w:before="0" w:after="0"/>
        <w:jc w:val="left"/>
        <w:rPr>
          <w:rFonts w:ascii="Times New Roman" w:hAnsi="Times New Roman"/>
          <w:b/>
          <w:sz w:val="20"/>
        </w:rPr>
      </w:pPr>
      <w:r>
        <w:rPr>
          <w:rFonts w:ascii="Times New Roman" w:hAnsi="Times New Roman"/>
          <w:b/>
          <w:sz w:val="20"/>
        </w:rPr>
        <w:t>Registration Statement on Form S-3 (File No. 333-298266)</w:t>
      </w:r>
    </w:p>
    <w:p>
      <w:pPr>
        <w:pStyle w:val="TextBody"/>
        <w:bidi w:val="0"/>
        <w:spacing w:before="0" w:after="0"/>
        <w:jc w:val="left"/>
        <w:rPr>
          <w:rFonts w:ascii="Times New Roman" w:hAnsi="Times New Roman"/>
          <w:b/>
          <w:sz w:val="20"/>
        </w:rPr>
      </w:pPr>
      <w:r>
        <w:rPr>
          <w:rFonts w:ascii="Times New Roman" w:hAnsi="Times New Roman"/>
          <w:b/>
          <w:sz w:val="20"/>
        </w:rPr>
        <w:t xml:space="preserve">Request for Acceleration of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Tim Buchmiller: </w:t>
      </w:r>
    </w:p>
    <w:p>
      <w:pPr>
        <w:pStyle w:val="TextBody"/>
        <w:bidi w:val="0"/>
        <w:spacing w:before="120" w:after="0"/>
        <w:jc w:val="left"/>
        <w:rPr>
          <w:rFonts w:ascii="Times New Roman" w:hAnsi="Times New Roman"/>
          <w:sz w:val="20"/>
        </w:rPr>
      </w:pPr>
      <w:r>
        <w:rPr>
          <w:rFonts w:ascii="Times New Roman" w:hAnsi="Times New Roman"/>
          <w:sz w:val="20"/>
        </w:rPr>
        <w:t>In accordance with Rule 461 under the Securities Act of 1933, as amended, the undersigned registrant (the “</w:t>
      </w:r>
      <w:r>
        <w:rPr>
          <w:rFonts w:ascii="Times New Roman" w:hAnsi="Times New Roman"/>
          <w:b/>
          <w:i/>
          <w:sz w:val="20"/>
        </w:rPr>
        <w:t>Registrant</w:t>
      </w:r>
      <w:r>
        <w:rPr>
          <w:rFonts w:ascii="Times New Roman" w:hAnsi="Times New Roman"/>
          <w:sz w:val="20"/>
        </w:rPr>
        <w:t>”) hereby requests that the Securities and Exchange Commission (the “</w:t>
      </w:r>
      <w:r>
        <w:rPr>
          <w:rFonts w:ascii="Times New Roman" w:hAnsi="Times New Roman"/>
          <w:b/>
          <w:i/>
          <w:sz w:val="20"/>
        </w:rPr>
        <w:t>Commission</w:t>
      </w:r>
      <w:r>
        <w:rPr>
          <w:rFonts w:ascii="Times New Roman" w:hAnsi="Times New Roman"/>
          <w:sz w:val="20"/>
        </w:rPr>
        <w:t>”) take appropriate action to cause the above-referenced Registration Statement on Form S-3 (File No. 333-298266) (the “</w:t>
      </w:r>
      <w:r>
        <w:rPr>
          <w:rFonts w:ascii="Times New Roman" w:hAnsi="Times New Roman"/>
          <w:b/>
          <w:i/>
          <w:sz w:val="20"/>
        </w:rPr>
        <w:t>Registration Statement</w:t>
      </w:r>
      <w:r>
        <w:rPr>
          <w:rFonts w:ascii="Times New Roman" w:hAnsi="Times New Roman"/>
          <w:sz w:val="20"/>
        </w:rPr>
        <w:t xml:space="preserve">”) to become effective on August 20, 2026, at 4:00 p.m. Eastern Time, or as soon thereafter as is practicable, or at such other time as the Registrant or its legal counsel, Cooley LLP, may request by telephone to the staff of the Commission. The Registrant hereby authorizes each of Courtney M.W. Tygesson and Sara Semnani of Cooley LLP to make such a request on its behalf. </w:t>
      </w:r>
    </w:p>
    <w:p>
      <w:pPr>
        <w:pStyle w:val="TextBody"/>
        <w:bidi w:val="0"/>
        <w:spacing w:before="240" w:after="0"/>
        <w:jc w:val="left"/>
        <w:rPr>
          <w:rFonts w:ascii="Times New Roman" w:hAnsi="Times New Roman"/>
          <w:sz w:val="20"/>
        </w:rPr>
      </w:pPr>
      <w:r>
        <w:rPr>
          <w:rFonts w:ascii="Times New Roman" w:hAnsi="Times New Roman"/>
          <w:sz w:val="20"/>
        </w:rPr>
        <w:t xml:space="preserve">Once the Registration Statement has been declared effective, please confirm that event with Courtney M.W. Tygesson of Cooley LLP, counsel to the Registrant, at (312) 881-6680 or ctygesson@cooley.com, or in her absence, Sara Semnani at (858) 550-6227or ssemnani@cooley.com.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follows]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59"/>
        <w:gridCol w:w="60"/>
        <w:gridCol w:w="3663"/>
      </w:tblGrid>
      <w:tr>
        <w:trPr/>
        <w:tc>
          <w:tcPr>
            <w:tcW w:w="3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Cue Biopharma, Inc.</w:t>
            </w:r>
          </w:p>
        </w:tc>
      </w:tr>
      <w:tr>
        <w:trPr>
          <w:trHeight w:val="240" w:hRule="atLeast"/>
        </w:trPr>
        <w:tc>
          <w:tcPr>
            <w:tcW w:w="359" w:type="dxa"/>
            <w:tcBorders/>
            <w:vAlign w:val="center"/>
          </w:tcPr>
          <w:p>
            <w:pPr>
              <w:pStyle w:val="TableContents"/>
              <w:bidi w:val="0"/>
              <w:spacing w:before="0" w:after="283"/>
              <w:jc w:val="left"/>
              <w:rPr>
                <w:sz w:val="4"/>
                <w:szCs w:val="4"/>
              </w:rPr>
            </w:pPr>
            <w:r>
              <w:rPr>
                <w:sz w:val="4"/>
                <w:szCs w:val="4"/>
              </w:rPr>
            </w:r>
          </w:p>
        </w:tc>
        <w:tc>
          <w:tcPr>
            <w:tcW w:w="3723" w:type="dxa"/>
            <w:gridSpan w:val="2"/>
            <w:tcBorders/>
            <w:vAlign w:val="center"/>
          </w:tcPr>
          <w:p>
            <w:pPr>
              <w:pStyle w:val="TableContents"/>
              <w:bidi w:val="0"/>
              <w:spacing w:before="0" w:after="283"/>
              <w:jc w:val="left"/>
              <w:rPr>
                <w:sz w:val="4"/>
                <w:szCs w:val="4"/>
              </w:rPr>
            </w:pPr>
            <w:r>
              <w:rPr>
                <w:sz w:val="4"/>
                <w:szCs w:val="4"/>
              </w:rPr>
            </w:r>
          </w:p>
        </w:tc>
      </w:tr>
      <w:tr>
        <w:trPr/>
        <w:tc>
          <w:tcPr>
            <w:tcW w:w="35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3" w:type="dxa"/>
            <w:tcBorders>
              <w:bottom w:val="single" w:sz="2" w:space="0" w:color="000000"/>
            </w:tcBorders>
            <w:tcMar>
              <w:bottom w:w="28" w:type="dxa"/>
            </w:tcMar>
          </w:tcPr>
          <w:p>
            <w:pPr>
              <w:pStyle w:val="TableContents"/>
              <w:bidi w:val="0"/>
              <w:spacing w:before="0" w:after="283"/>
              <w:jc w:val="left"/>
              <w:rPr/>
            </w:pPr>
            <w:r>
              <w:rPr/>
              <w:t>/s/ Sumita Ray</w:t>
            </w:r>
          </w:p>
        </w:tc>
      </w:tr>
      <w:tr>
        <w:trPr/>
        <w:tc>
          <w:tcPr>
            <w:tcW w:w="35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3" w:type="dxa"/>
            <w:tcBorders/>
          </w:tcPr>
          <w:p>
            <w:pPr>
              <w:pStyle w:val="TableContents"/>
              <w:bidi w:val="0"/>
              <w:spacing w:before="0" w:after="283"/>
              <w:jc w:val="left"/>
              <w:rPr/>
            </w:pPr>
            <w:r>
              <w:rPr/>
              <w:t>Sumita Ray</w:t>
            </w:r>
          </w:p>
        </w:tc>
      </w:tr>
      <w:tr>
        <w:trPr/>
        <w:tc>
          <w:tcPr>
            <w:tcW w:w="35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3" w:type="dxa"/>
            <w:tcBorders/>
          </w:tcPr>
          <w:p>
            <w:pPr>
              <w:pStyle w:val="TableContents"/>
              <w:bidi w:val="0"/>
              <w:spacing w:before="0" w:after="283"/>
              <w:jc w:val="left"/>
              <w:rPr>
                <w:i/>
              </w:rPr>
            </w:pPr>
            <w:r>
              <w:rPr>
                <w:i/>
              </w:rPr>
              <w:t>Chief Legal &amp; Compliance Officer and Corporate Secretary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Shao-Lee Lin, Cue Biopharma, Inc. </w:t>
            </w:r>
          </w:p>
        </w:tc>
      </w:tr>
    </w:tbl>
    <w:p>
      <w:pPr>
        <w:pStyle w:val="TextBody"/>
        <w:bidi w:val="0"/>
        <w:spacing w:before="0" w:after="0"/>
        <w:jc w:val="left"/>
        <w:rPr>
          <w:rFonts w:ascii="Times New Roman" w:hAnsi="Times New Roman"/>
          <w:sz w:val="20"/>
        </w:rPr>
      </w:pPr>
      <w:r>
        <w:rPr>
          <w:rFonts w:ascii="Times New Roman" w:hAnsi="Times New Roman"/>
          <w:sz w:val="20"/>
        </w:rPr>
        <w:t xml:space="preserve">Michael Meluzio, Cue Biopharma, Inc. </w:t>
      </w:r>
    </w:p>
    <w:p>
      <w:pPr>
        <w:pStyle w:val="TextBody"/>
        <w:bidi w:val="0"/>
        <w:spacing w:before="0" w:after="0"/>
        <w:jc w:val="left"/>
        <w:rPr>
          <w:rFonts w:ascii="Times New Roman" w:hAnsi="Times New Roman"/>
          <w:sz w:val="20"/>
        </w:rPr>
      </w:pPr>
      <w:r>
        <w:rPr>
          <w:rFonts w:ascii="Times New Roman" w:hAnsi="Times New Roman"/>
          <w:sz w:val="20"/>
        </w:rPr>
        <w:t xml:space="preserve">Divakar Gupta, Cooley LLP </w:t>
      </w:r>
    </w:p>
    <w:p>
      <w:pPr>
        <w:pStyle w:val="TextBody"/>
        <w:bidi w:val="0"/>
        <w:spacing w:before="0" w:after="0"/>
        <w:jc w:val="left"/>
        <w:rPr>
          <w:rFonts w:ascii="Times New Roman" w:hAnsi="Times New Roman"/>
          <w:sz w:val="20"/>
        </w:rPr>
      </w:pPr>
      <w:r>
        <w:rPr>
          <w:rFonts w:ascii="Times New Roman" w:hAnsi="Times New Roman"/>
          <w:sz w:val="20"/>
        </w:rPr>
        <w:t xml:space="preserve">Sara Semnani, Cooley LLP </w:t>
      </w:r>
    </w:p>
    <w:p>
      <w:pPr>
        <w:pStyle w:val="TextBody"/>
        <w:bidi w:val="0"/>
        <w:spacing w:before="0" w:after="0"/>
        <w:jc w:val="left"/>
        <w:rPr>
          <w:rFonts w:ascii="Times New Roman" w:hAnsi="Times New Roman"/>
          <w:sz w:val="20"/>
        </w:rPr>
      </w:pPr>
      <w:r>
        <w:rPr>
          <w:rFonts w:ascii="Times New Roman" w:hAnsi="Times New Roman"/>
          <w:sz w:val="20"/>
        </w:rPr>
        <w:t xml:space="preserve">Courtney M.W. Tygesson, Cooley LLP </w:t>
      </w:r>
    </w:p>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Company Acceleration Request – S-3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257</Words>
  <Characters>1457</Characters>
  <CharactersWithSpaces>1714</CharactersWithSpaces>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dc:title>
</cp:coreProperties>
</file>