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52026_011031.xml.htm"/>
      <w:bookmarkStart w:id="1" w:name="ksform410152026_011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Shao-Lee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CUE BIOPHARMA,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CHESTNUT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SOMERVILLE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Cue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695,995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28.05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694,908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represent shares sold pursuant to the Issuer's Company-Wide Policy and do not represent discretionary transactions by the Reporting Person. These sales were made automatically to satisfy mandatory tax withholding obligations through a "sell-to-cover" transaction in connection with the vesting and settlement of restricted stock units, and the Reporting Person did not exercise any control over the timing, price or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Shao-Lee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092" TargetMode="External"/><Relationship Id="rId5" Type="http://schemas.openxmlformats.org/officeDocument/2006/relationships/hyperlink" Target="http://www.sec.gov/cgi-bin/browse-edgar?action=getcompany&amp;CIK=0001645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3520</Characters>
  <CharactersWithSpaces>4086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