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0" w:lineRule="exact"/>
        <w:rPr>
          <w:rFonts w:ascii="MS PGothic" w:cs="MS PGothic" w:eastAsia="MS PGothic" w:hAnsi="MS PGothic"/>
          <w:sz w:val="16"/>
          <w:szCs w:val="16"/>
          <w:color w:val="auto"/>
          <w:highlight w:val="black"/>
        </w:rPr>
      </w:pPr>
    </w:p>
    <w:p>
      <w:pPr>
        <w:ind w:left="42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For the Fiscal Year Ended December 31, 2025</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0" w:lineRule="exact"/>
        <w:rPr>
          <w:rFonts w:ascii="MS PGothic" w:cs="MS PGothic" w:eastAsia="MS PGothic" w:hAnsi="MS PGothic"/>
          <w:sz w:val="16"/>
          <w:szCs w:val="16"/>
          <w:color w:val="auto"/>
          <w:highlight w:val="black"/>
        </w:rPr>
      </w:pPr>
    </w:p>
    <w:p>
      <w:pPr>
        <w:ind w:left="32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For the transition period from __________________ to __________________</w:t>
      </w:r>
    </w:p>
    <w:p>
      <w:pPr>
        <w:spacing w:after="0" w:line="68" w:lineRule="exact"/>
        <w:rPr>
          <w:rFonts w:ascii="MS PGothic" w:cs="MS PGothic" w:eastAsia="MS PGothic" w:hAnsi="MS PGothic"/>
          <w:sz w:val="16"/>
          <w:szCs w:val="16"/>
          <w:color w:val="auto"/>
          <w:highlight w:val="black"/>
        </w:rPr>
      </w:pPr>
    </w:p>
    <w:p>
      <w:pPr>
        <w:ind w:left="45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4"/>
          <w:szCs w:val="14"/>
          <w:b w:val="1"/>
          <w:bCs w:val="1"/>
          <w:u w:val="single" w:color="auto"/>
          <w:color w:val="auto"/>
        </w:rPr>
        <w:t>001-38327</w:t>
      </w:r>
    </w:p>
    <w:p>
      <w:pPr>
        <w:spacing w:after="0" w:line="55" w:lineRule="exact"/>
        <w:rPr>
          <w:sz w:val="24"/>
          <w:szCs w:val="24"/>
          <w:color w:val="auto"/>
        </w:rPr>
      </w:pPr>
    </w:p>
    <w:tbl>
      <w:tblPr>
        <w:tblLayout w:type="fixed"/>
        <w:tblInd w:w="10" w:type="dxa"/>
        <w:tblCellMar>
          <w:top w:w="0" w:type="dxa"/>
          <w:left w:w="0" w:type="dxa"/>
          <w:bottom w:w="0" w:type="dxa"/>
          <w:right w:w="0" w:type="dxa"/>
        </w:tblCellMar>
      </w:tblPr>
      <w:tr>
        <w:trPr>
          <w:trHeight w:val="351"/>
        </w:trPr>
        <w:tc>
          <w:tcPr>
            <w:tcW w:w="3780" w:type="dxa"/>
            <w:vAlign w:val="bottom"/>
          </w:tcPr>
          <w:p>
            <w:pPr>
              <w:spacing w:after="0"/>
              <w:rPr>
                <w:sz w:val="24"/>
                <w:szCs w:val="24"/>
                <w:color w:val="auto"/>
              </w:rPr>
            </w:pPr>
          </w:p>
        </w:tc>
        <w:tc>
          <w:tcPr>
            <w:tcW w:w="3600" w:type="dxa"/>
            <w:vAlign w:val="bottom"/>
            <w:gridSpan w:val="5"/>
          </w:tcPr>
          <w:p>
            <w:pPr>
              <w:jc w:val="center"/>
              <w:ind w:left="14"/>
              <w:spacing w:after="0"/>
              <w:rPr>
                <w:sz w:val="20"/>
                <w:szCs w:val="20"/>
                <w:color w:val="auto"/>
              </w:rPr>
            </w:pPr>
            <w:r>
              <w:rPr>
                <w:rFonts w:ascii="Times New Roman" w:cs="Times New Roman" w:eastAsia="Times New Roman" w:hAnsi="Times New Roman"/>
                <w:sz w:val="29"/>
                <w:szCs w:val="29"/>
                <w:b w:val="1"/>
                <w:bCs w:val="1"/>
                <w:color w:val="auto"/>
                <w:w w:val="99"/>
              </w:rPr>
              <w:t>Cue Biopharma, Inc.</w:t>
            </w:r>
          </w:p>
        </w:tc>
        <w:tc>
          <w:tcPr>
            <w:tcW w:w="3860" w:type="dxa"/>
            <w:vAlign w:val="bottom"/>
          </w:tcPr>
          <w:p>
            <w:pPr>
              <w:spacing w:after="0"/>
              <w:rPr>
                <w:sz w:val="24"/>
                <w:szCs w:val="24"/>
                <w:color w:val="auto"/>
              </w:rPr>
            </w:pPr>
          </w:p>
        </w:tc>
      </w:tr>
      <w:tr>
        <w:trPr>
          <w:trHeight w:val="190"/>
        </w:trPr>
        <w:tc>
          <w:tcPr>
            <w:tcW w:w="3780" w:type="dxa"/>
            <w:vAlign w:val="bottom"/>
          </w:tcPr>
          <w:p>
            <w:pPr>
              <w:spacing w:after="0"/>
              <w:rPr>
                <w:sz w:val="16"/>
                <w:szCs w:val="16"/>
                <w:color w:val="auto"/>
              </w:rPr>
            </w:pPr>
          </w:p>
        </w:tc>
        <w:tc>
          <w:tcPr>
            <w:tcW w:w="3600" w:type="dxa"/>
            <w:vAlign w:val="bottom"/>
            <w:gridSpan w:val="5"/>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60" w:type="dxa"/>
            <w:vAlign w:val="bottom"/>
          </w:tcPr>
          <w:p>
            <w:pPr>
              <w:spacing w:after="0"/>
              <w:rPr>
                <w:sz w:val="16"/>
                <w:szCs w:val="16"/>
                <w:color w:val="auto"/>
              </w:rPr>
            </w:pPr>
          </w:p>
        </w:tc>
      </w:tr>
      <w:tr>
        <w:trPr>
          <w:trHeight w:val="226"/>
        </w:trPr>
        <w:tc>
          <w:tcPr>
            <w:tcW w:w="3780" w:type="dxa"/>
            <w:vAlign w:val="bottom"/>
            <w:tcBorders>
              <w:bottom w:val="single" w:sz="8" w:color="auto"/>
            </w:tcBorders>
          </w:tcPr>
          <w:p>
            <w:pPr>
              <w:jc w:val="center"/>
              <w:ind w:left="1685"/>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jc w:val="right"/>
              <w:ind w:right="2324"/>
              <w:spacing w:after="0"/>
              <w:rPr>
                <w:sz w:val="20"/>
                <w:szCs w:val="20"/>
                <w:color w:val="auto"/>
              </w:rPr>
            </w:pPr>
            <w:r>
              <w:rPr>
                <w:rFonts w:ascii="Times New Roman" w:cs="Times New Roman" w:eastAsia="Times New Roman" w:hAnsi="Times New Roman"/>
                <w:sz w:val="14"/>
                <w:szCs w:val="14"/>
                <w:b w:val="1"/>
                <w:bCs w:val="1"/>
                <w:color w:val="auto"/>
              </w:rPr>
              <w:t>47-3324577</w:t>
            </w:r>
          </w:p>
        </w:tc>
      </w:tr>
      <w:tr>
        <w:trPr>
          <w:trHeight w:val="117"/>
        </w:trPr>
        <w:tc>
          <w:tcPr>
            <w:tcW w:w="3780" w:type="dxa"/>
            <w:vAlign w:val="bottom"/>
          </w:tcPr>
          <w:p>
            <w:pPr>
              <w:jc w:val="center"/>
              <w:ind w:left="1665"/>
              <w:spacing w:after="0" w:line="118"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60" w:type="dxa"/>
            <w:vAlign w:val="bottom"/>
          </w:tcPr>
          <w:p>
            <w:pPr>
              <w:jc w:val="center"/>
              <w:ind w:right="1544"/>
              <w:spacing w:after="0" w:line="118" w:lineRule="exact"/>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190"/>
        </w:trPr>
        <w:tc>
          <w:tcPr>
            <w:tcW w:w="3780" w:type="dxa"/>
            <w:vAlign w:val="bottom"/>
          </w:tcPr>
          <w:p>
            <w:pPr>
              <w:jc w:val="center"/>
              <w:ind w:left="166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60" w:type="dxa"/>
            <w:vAlign w:val="bottom"/>
          </w:tcPr>
          <w:p>
            <w:pPr>
              <w:spacing w:after="0"/>
              <w:rPr>
                <w:sz w:val="16"/>
                <w:szCs w:val="16"/>
                <w:color w:val="auto"/>
              </w:rPr>
            </w:pPr>
          </w:p>
        </w:tc>
      </w:tr>
      <w:tr>
        <w:trPr>
          <w:trHeight w:val="273"/>
        </w:trPr>
        <w:tc>
          <w:tcPr>
            <w:tcW w:w="3780" w:type="dxa"/>
            <w:vAlign w:val="bottom"/>
            <w:tcBorders>
              <w:bottom w:val="single" w:sz="8" w:color="auto"/>
            </w:tcBorders>
          </w:tcPr>
          <w:p>
            <w:pPr>
              <w:jc w:val="center"/>
              <w:ind w:left="1625"/>
              <w:spacing w:after="0"/>
              <w:rPr>
                <w:sz w:val="20"/>
                <w:szCs w:val="20"/>
                <w:color w:val="auto"/>
              </w:rPr>
            </w:pPr>
            <w:r>
              <w:rPr>
                <w:rFonts w:ascii="Times New Roman" w:cs="Times New Roman" w:eastAsia="Times New Roman" w:hAnsi="Times New Roman"/>
                <w:sz w:val="16"/>
                <w:szCs w:val="16"/>
                <w:b w:val="1"/>
                <w:bCs w:val="1"/>
                <w:color w:val="auto"/>
              </w:rPr>
              <w:t>40 Guest Street Boston, MA</w:t>
            </w:r>
          </w:p>
        </w:tc>
        <w:tc>
          <w:tcPr>
            <w:tcW w:w="7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3860" w:type="dxa"/>
            <w:vAlign w:val="bottom"/>
            <w:tcBorders>
              <w:bottom w:val="single" w:sz="8" w:color="auto"/>
            </w:tcBorders>
          </w:tcPr>
          <w:p>
            <w:pPr>
              <w:jc w:val="right"/>
              <w:ind w:right="2464"/>
              <w:spacing w:after="0"/>
              <w:rPr>
                <w:sz w:val="20"/>
                <w:szCs w:val="20"/>
                <w:color w:val="auto"/>
              </w:rPr>
            </w:pPr>
            <w:r>
              <w:rPr>
                <w:rFonts w:ascii="Times New Roman" w:cs="Times New Roman" w:eastAsia="Times New Roman" w:hAnsi="Times New Roman"/>
                <w:sz w:val="16"/>
                <w:szCs w:val="16"/>
                <w:b w:val="1"/>
                <w:bCs w:val="1"/>
                <w:color w:val="auto"/>
              </w:rPr>
              <w:t>02135</w:t>
            </w:r>
          </w:p>
        </w:tc>
      </w:tr>
      <w:tr>
        <w:trPr>
          <w:trHeight w:val="190"/>
        </w:trPr>
        <w:tc>
          <w:tcPr>
            <w:tcW w:w="55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60" w:type="dxa"/>
            <w:vAlign w:val="bottom"/>
          </w:tcPr>
          <w:p>
            <w:pPr>
              <w:jc w:val="center"/>
              <w:ind w:right="156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63"/>
        </w:trPr>
        <w:tc>
          <w:tcPr>
            <w:tcW w:w="3780" w:type="dxa"/>
            <w:vAlign w:val="bottom"/>
          </w:tcPr>
          <w:p>
            <w:pPr>
              <w:spacing w:after="0"/>
              <w:rPr>
                <w:sz w:val="14"/>
                <w:szCs w:val="14"/>
                <w:color w:val="auto"/>
              </w:rPr>
            </w:pPr>
          </w:p>
        </w:tc>
        <w:tc>
          <w:tcPr>
            <w:tcW w:w="2980" w:type="dxa"/>
            <w:vAlign w:val="bottom"/>
            <w:gridSpan w:val="4"/>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(617) 949-2680</w:t>
            </w:r>
          </w:p>
        </w:tc>
        <w:tc>
          <w:tcPr>
            <w:tcW w:w="62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190"/>
        </w:trPr>
        <w:tc>
          <w:tcPr>
            <w:tcW w:w="3780" w:type="dxa"/>
            <w:vAlign w:val="bottom"/>
          </w:tcPr>
          <w:p>
            <w:pPr>
              <w:spacing w:after="0"/>
              <w:rPr>
                <w:sz w:val="16"/>
                <w:szCs w:val="16"/>
                <w:color w:val="auto"/>
              </w:rPr>
            </w:pPr>
          </w:p>
        </w:tc>
        <w:tc>
          <w:tcPr>
            <w:tcW w:w="36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860" w:type="dxa"/>
            <w:vAlign w:val="bottom"/>
          </w:tcPr>
          <w:p>
            <w:pPr>
              <w:spacing w:after="0"/>
              <w:rPr>
                <w:sz w:val="16"/>
                <w:szCs w:val="16"/>
                <w:color w:val="auto"/>
              </w:rPr>
            </w:pPr>
          </w:p>
        </w:tc>
      </w:tr>
      <w:tr>
        <w:trPr>
          <w:trHeight w:val="229"/>
        </w:trPr>
        <w:tc>
          <w:tcPr>
            <w:tcW w:w="3780" w:type="dxa"/>
            <w:vAlign w:val="bottom"/>
          </w:tcPr>
          <w:p>
            <w:pPr>
              <w:spacing w:after="0"/>
              <w:rPr>
                <w:sz w:val="19"/>
                <w:szCs w:val="19"/>
                <w:color w:val="auto"/>
              </w:rPr>
            </w:pPr>
          </w:p>
        </w:tc>
        <w:tc>
          <w:tcPr>
            <w:tcW w:w="36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860" w:type="dxa"/>
            <w:vAlign w:val="bottom"/>
          </w:tcPr>
          <w:p>
            <w:pPr>
              <w:spacing w:after="0"/>
              <w:rPr>
                <w:sz w:val="19"/>
                <w:szCs w:val="19"/>
                <w:color w:val="auto"/>
              </w:rPr>
            </w:pPr>
          </w:p>
        </w:tc>
      </w:tr>
      <w:tr>
        <w:trPr>
          <w:trHeight w:val="81"/>
        </w:trPr>
        <w:tc>
          <w:tcPr>
            <w:tcW w:w="37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gridSpan w:val="3"/>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860" w:type="dxa"/>
            <w:vAlign w:val="bottom"/>
            <w:tcBorders>
              <w:bottom w:val="single" w:sz="8" w:color="auto"/>
            </w:tcBorders>
          </w:tcPr>
          <w:p>
            <w:pPr>
              <w:spacing w:after="0"/>
              <w:rPr>
                <w:sz w:val="7"/>
                <w:szCs w:val="7"/>
                <w:color w:val="auto"/>
              </w:rPr>
            </w:pPr>
          </w:p>
        </w:tc>
      </w:tr>
      <w:tr>
        <w:trPr>
          <w:trHeight w:val="196"/>
        </w:trPr>
        <w:tc>
          <w:tcPr>
            <w:tcW w:w="3780" w:type="dxa"/>
            <w:vAlign w:val="bottom"/>
            <w:tcBorders>
              <w:left w:val="single" w:sz="8" w:color="auto"/>
              <w:bottom w:val="single" w:sz="8" w:color="auto"/>
            </w:tcBorders>
          </w:tcPr>
          <w:p>
            <w:pPr>
              <w:jc w:val="center"/>
              <w:ind w:left="645"/>
              <w:spacing w:after="0" w:line="176" w:lineRule="exact"/>
              <w:rPr>
                <w:sz w:val="20"/>
                <w:szCs w:val="20"/>
                <w:color w:val="auto"/>
              </w:rPr>
            </w:pPr>
            <w:r>
              <w:rPr>
                <w:rFonts w:ascii="Times New Roman" w:cs="Times New Roman" w:eastAsia="Times New Roman" w:hAnsi="Times New Roman"/>
                <w:sz w:val="16"/>
                <w:szCs w:val="16"/>
                <w:color w:val="auto"/>
              </w:rPr>
              <w:t>Title of each class</w:t>
            </w:r>
          </w:p>
        </w:tc>
        <w:tc>
          <w:tcPr>
            <w:tcW w:w="72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gridSpan w:val="3"/>
          </w:tcPr>
          <w:p>
            <w:pPr>
              <w:jc w:val="center"/>
              <w:ind w:right="20"/>
              <w:spacing w:after="0" w:line="176" w:lineRule="exact"/>
              <w:rPr>
                <w:sz w:val="20"/>
                <w:szCs w:val="20"/>
                <w:color w:val="auto"/>
              </w:rPr>
            </w:pPr>
            <w:r>
              <w:rPr>
                <w:rFonts w:ascii="Times New Roman" w:cs="Times New Roman" w:eastAsia="Times New Roman" w:hAnsi="Times New Roman"/>
                <w:sz w:val="16"/>
                <w:szCs w:val="16"/>
                <w:color w:val="auto"/>
              </w:rPr>
              <w:t>Trading Symbol(s)</w:t>
            </w:r>
          </w:p>
        </w:tc>
        <w:tc>
          <w:tcPr>
            <w:tcW w:w="620" w:type="dxa"/>
            <w:vAlign w:val="bottom"/>
            <w:tcBorders>
              <w:bottom w:val="single" w:sz="8" w:color="auto"/>
            </w:tcBorders>
          </w:tcPr>
          <w:p>
            <w:pPr>
              <w:spacing w:after="0"/>
              <w:rPr>
                <w:sz w:val="17"/>
                <w:szCs w:val="17"/>
                <w:color w:val="auto"/>
              </w:rPr>
            </w:pPr>
          </w:p>
        </w:tc>
        <w:tc>
          <w:tcPr>
            <w:tcW w:w="3860" w:type="dxa"/>
            <w:vAlign w:val="bottom"/>
            <w:tcBorders>
              <w:bottom w:val="single" w:sz="8" w:color="auto"/>
              <w:right w:val="single" w:sz="8" w:color="auto"/>
            </w:tcBorders>
          </w:tcPr>
          <w:p>
            <w:pPr>
              <w:jc w:val="center"/>
              <w:ind w:right="564"/>
              <w:spacing w:after="0" w:line="176" w:lineRule="exact"/>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79"/>
        </w:trPr>
        <w:tc>
          <w:tcPr>
            <w:tcW w:w="3780" w:type="dxa"/>
            <w:vAlign w:val="bottom"/>
            <w:tcBorders>
              <w:left w:val="single" w:sz="8" w:color="auto"/>
              <w:bottom w:val="single" w:sz="8" w:color="auto"/>
            </w:tcBorders>
          </w:tcPr>
          <w:p>
            <w:pPr>
              <w:jc w:val="center"/>
              <w:ind w:left="665"/>
              <w:spacing w:after="0" w:line="179" w:lineRule="exact"/>
              <w:rPr>
                <w:sz w:val="20"/>
                <w:szCs w:val="20"/>
                <w:color w:val="auto"/>
              </w:rPr>
            </w:pPr>
            <w:r>
              <w:rPr>
                <w:rFonts w:ascii="Times New Roman" w:cs="Times New Roman" w:eastAsia="Times New Roman" w:hAnsi="Times New Roman"/>
                <w:sz w:val="16"/>
                <w:szCs w:val="16"/>
                <w:color w:val="auto"/>
              </w:rPr>
              <w:t>Common Stock, par value $0.001 per share</w:t>
            </w:r>
          </w:p>
        </w:tc>
        <w:tc>
          <w:tcPr>
            <w:tcW w:w="72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gridSpan w:val="3"/>
          </w:tcPr>
          <w:p>
            <w:pPr>
              <w:jc w:val="center"/>
              <w:ind w:right="20"/>
              <w:spacing w:after="0" w:line="179" w:lineRule="exact"/>
              <w:rPr>
                <w:sz w:val="20"/>
                <w:szCs w:val="20"/>
                <w:color w:val="auto"/>
              </w:rPr>
            </w:pPr>
            <w:r>
              <w:rPr>
                <w:rFonts w:ascii="Times New Roman" w:cs="Times New Roman" w:eastAsia="Times New Roman" w:hAnsi="Times New Roman"/>
                <w:sz w:val="16"/>
                <w:szCs w:val="16"/>
                <w:color w:val="auto"/>
                <w:w w:val="99"/>
              </w:rPr>
              <w:t>CUE</w:t>
            </w:r>
          </w:p>
        </w:tc>
        <w:tc>
          <w:tcPr>
            <w:tcW w:w="620" w:type="dxa"/>
            <w:vAlign w:val="bottom"/>
            <w:tcBorders>
              <w:bottom w:val="single" w:sz="8" w:color="auto"/>
            </w:tcBorders>
          </w:tcPr>
          <w:p>
            <w:pPr>
              <w:spacing w:after="0"/>
              <w:rPr>
                <w:sz w:val="15"/>
                <w:szCs w:val="15"/>
                <w:color w:val="auto"/>
              </w:rPr>
            </w:pPr>
          </w:p>
        </w:tc>
        <w:tc>
          <w:tcPr>
            <w:tcW w:w="3860" w:type="dxa"/>
            <w:vAlign w:val="bottom"/>
            <w:tcBorders>
              <w:bottom w:val="single" w:sz="8" w:color="auto"/>
              <w:right w:val="single" w:sz="8" w:color="auto"/>
            </w:tcBorders>
          </w:tcPr>
          <w:p>
            <w:pPr>
              <w:jc w:val="center"/>
              <w:ind w:right="564"/>
              <w:spacing w:after="0" w:line="179" w:lineRule="exact"/>
              <w:rPr>
                <w:sz w:val="20"/>
                <w:szCs w:val="20"/>
                <w:color w:val="auto"/>
              </w:rPr>
            </w:pPr>
            <w:r>
              <w:rPr>
                <w:rFonts w:ascii="Times New Roman" w:cs="Times New Roman" w:eastAsia="Times New Roman" w:hAnsi="Times New Roman"/>
                <w:sz w:val="16"/>
                <w:szCs w:val="16"/>
                <w:color w:val="auto"/>
              </w:rPr>
              <w:t>Nasdaq Capital Market</w:t>
            </w:r>
          </w:p>
        </w:tc>
      </w:tr>
    </w:tbl>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53" w:lineRule="exact"/>
        <w:rPr>
          <w:sz w:val="24"/>
          <w:szCs w:val="24"/>
          <w:color w:val="auto"/>
        </w:rPr>
      </w:pPr>
    </w:p>
    <w:p>
      <w:pPr>
        <w:ind w:left="760" w:right="2800"/>
        <w:spacing w:after="0" w:line="249"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340" w:firstLine="74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240" w:firstLine="74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6"/>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33" w:lineRule="exact"/>
        <w:rPr>
          <w:sz w:val="24"/>
          <w:szCs w:val="24"/>
          <w:color w:val="auto"/>
        </w:rPr>
      </w:pPr>
    </w:p>
    <w:p>
      <w:pPr>
        <w:ind w:right="480" w:firstLine="74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t>
      </w:r>
    </w:p>
    <w:p>
      <w:pPr>
        <w:spacing w:after="0" w:line="33" w:lineRule="exact"/>
        <w:rPr>
          <w:sz w:val="24"/>
          <w:szCs w:val="24"/>
          <w:color w:val="auto"/>
        </w:rPr>
      </w:pPr>
    </w:p>
    <w:p>
      <w:pPr>
        <w:ind w:right="120" w:firstLine="749"/>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firstLine="749"/>
        <w:spacing w:after="0" w:line="17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01" w:lineRule="exact"/>
        <w:rPr>
          <w:sz w:val="24"/>
          <w:szCs w:val="24"/>
          <w:color w:val="auto"/>
        </w:rPr>
      </w:pPr>
    </w:p>
    <w:p>
      <w:pPr>
        <w:ind w:right="100" w:firstLine="74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4" w:lineRule="exact"/>
        <w:rPr>
          <w:sz w:val="24"/>
          <w:szCs w:val="24"/>
          <w:color w:val="auto"/>
        </w:rPr>
      </w:pPr>
    </w:p>
    <w:p>
      <w:pPr>
        <w:ind w:left="7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620" w:firstLine="749"/>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the last business day of the registrant’s most recently completed second fiscal quarter, was approximately $52.0 million (based on the closing price of the registrant’s common stock on June 30, 2025 of $0.68 per share).</w:t>
      </w:r>
    </w:p>
    <w:p>
      <w:pPr>
        <w:spacing w:after="0" w:line="2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4"/>
          <w:szCs w:val="14"/>
          <w:color w:val="auto"/>
        </w:rPr>
        <w:t>As of March 13, 2026, the registrant had 97,660,791 shares of Common Stock, $0.001 par value per share, outstanding.</w:t>
      </w:r>
    </w:p>
    <w:p>
      <w:pPr>
        <w:spacing w:after="0" w:line="6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69" w:lineRule="exact"/>
        <w:rPr>
          <w:sz w:val="24"/>
          <w:szCs w:val="24"/>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registrant intends to file a definitive proxy statement pursuant to Regulation 14A within 120 days after the end of the fiscal year ended December 31, 2025. Portions of such proxy statement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774065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700" w:type="dxa"/>
            <w:vAlign w:val="bottom"/>
            <w:gridSpan w:val="10"/>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rPr>
              <w:t>CUE BIOPHARMA, INC.</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700" w:type="dxa"/>
            <w:vAlign w:val="bottom"/>
            <w:gridSpan w:val="10"/>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PART I</w:t>
            </w:r>
          </w:p>
        </w:tc>
        <w:tc>
          <w:tcPr>
            <w:tcW w:w="20" w:type="dxa"/>
            <w:vAlign w:val="bottom"/>
            <w:tcBorders>
              <w:bottom w:val="single" w:sz="8" w:color="0000EE"/>
            </w:tcBorders>
          </w:tcPr>
          <w:p>
            <w:pPr>
              <w:spacing w:after="0"/>
              <w:rPr>
                <w:sz w:val="24"/>
                <w:szCs w:val="24"/>
                <w:color w:val="auto"/>
              </w:rPr>
            </w:pPr>
          </w:p>
        </w:tc>
        <w:tc>
          <w:tcPr>
            <w:tcW w:w="76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17"/>
                <w:szCs w:val="17"/>
                <w:color w:val="auto"/>
              </w:rPr>
            </w:pPr>
          </w:p>
        </w:tc>
        <w:tc>
          <w:tcPr>
            <w:tcW w:w="8200" w:type="dxa"/>
            <w:vAlign w:val="bottom"/>
            <w:gridSpan w:val="2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6820" w:type="dxa"/>
            <w:vAlign w:val="bottom"/>
            <w:gridSpan w:val="1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7860" w:type="dxa"/>
            <w:vAlign w:val="bottom"/>
            <w:gridSpan w:val="1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7"/>
                <w:szCs w:val="17"/>
                <w:color w:val="auto"/>
              </w:rPr>
            </w:pPr>
          </w:p>
        </w:tc>
        <w:tc>
          <w:tcPr>
            <w:tcW w:w="7500" w:type="dxa"/>
            <w:vAlign w:val="bottom"/>
            <w:gridSpan w:val="1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PART II</w:t>
            </w:r>
          </w:p>
        </w:tc>
        <w:tc>
          <w:tcPr>
            <w:tcW w:w="20" w:type="dxa"/>
            <w:vAlign w:val="bottom"/>
            <w:tcBorders>
              <w:bottom w:val="single" w:sz="8" w:color="0000EE"/>
            </w:tcBorders>
          </w:tcPr>
          <w:p>
            <w:pPr>
              <w:spacing w:after="0"/>
              <w:rPr>
                <w:sz w:val="17"/>
                <w:szCs w:val="17"/>
                <w:color w:val="auto"/>
              </w:rPr>
            </w:pPr>
          </w:p>
        </w:tc>
        <w:tc>
          <w:tcPr>
            <w:tcW w:w="700" w:type="dxa"/>
            <w:vAlign w:val="bottom"/>
            <w:gridSpan w:val="2"/>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7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7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3"/>
          </w:tcPr>
          <w:p>
            <w:pPr>
              <w:spacing w:after="0"/>
              <w:rPr>
                <w:sz w:val="17"/>
                <w:szCs w:val="17"/>
                <w:color w:val="auto"/>
              </w:rPr>
            </w:pPr>
          </w:p>
        </w:tc>
        <w:tc>
          <w:tcPr>
            <w:tcW w:w="2400" w:type="dxa"/>
            <w:vAlign w:val="bottom"/>
            <w:gridSpan w:val="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7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38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8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top w:val="single" w:sz="8" w:color="0000FF"/>
              <w:bottom w:val="single" w:sz="8" w:color="0000EE"/>
            </w:tcBorders>
          </w:tcPr>
          <w:p>
            <w:pPr>
              <w:spacing w:after="0"/>
              <w:rPr>
                <w:sz w:val="17"/>
                <w:szCs w:val="17"/>
                <w:color w:val="auto"/>
              </w:rPr>
            </w:pPr>
          </w:p>
        </w:tc>
        <w:tc>
          <w:tcPr>
            <w:tcW w:w="420" w:type="dxa"/>
            <w:vAlign w:val="bottom"/>
            <w:tcBorders>
              <w:top w:val="single" w:sz="8" w:color="0000FF"/>
            </w:tcBorders>
            <w:gridSpan w:val="3"/>
          </w:tcPr>
          <w:p>
            <w:pPr>
              <w:spacing w:after="0"/>
              <w:rPr>
                <w:sz w:val="17"/>
                <w:szCs w:val="17"/>
                <w:color w:val="auto"/>
              </w:rPr>
            </w:pPr>
          </w:p>
        </w:tc>
        <w:tc>
          <w:tcPr>
            <w:tcW w:w="7100" w:type="dxa"/>
            <w:vAlign w:val="bottom"/>
            <w:gridSpan w:val="1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PART III</w:t>
            </w:r>
          </w:p>
        </w:tc>
        <w:tc>
          <w:tcPr>
            <w:tcW w:w="660" w:type="dxa"/>
            <w:vAlign w:val="bottom"/>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760" w:type="dxa"/>
            <w:vAlign w:val="bottom"/>
            <w:gridSpan w:val="8"/>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7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6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Stockholders Matters</w:t>
            </w:r>
          </w:p>
        </w:tc>
        <w:tc>
          <w:tcPr>
            <w:tcW w:w="1500" w:type="dxa"/>
            <w:vAlign w:val="bottom"/>
            <w:gridSpan w:val="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400" w:type="dxa"/>
            <w:vAlign w:val="bottom"/>
            <w:gridSpan w:val="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13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PART IV</w:t>
            </w: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5"/>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700" w:type="dxa"/>
            <w:vAlign w:val="bottom"/>
            <w:gridSpan w:val="10"/>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6"/>
        </w:trPr>
        <w:tc>
          <w:tcPr>
            <w:tcW w:w="1360" w:type="dxa"/>
            <w:vAlign w:val="bottom"/>
            <w:gridSpan w:val="6"/>
          </w:tcPr>
          <w:p>
            <w:pPr>
              <w:ind w:left="34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8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80" w:type="dxa"/>
            <w:vAlign w:val="bottom"/>
            <w:tcBorders>
              <w:top w:val="single" w:sz="8" w:color="0000FF"/>
            </w:tcBorders>
          </w:tcPr>
          <w:p>
            <w:pPr>
              <w:spacing w:after="0"/>
              <w:rPr>
                <w:sz w:val="7"/>
                <w:szCs w:val="7"/>
                <w:color w:val="auto"/>
              </w:rPr>
            </w:pPr>
          </w:p>
        </w:tc>
        <w:tc>
          <w:tcPr>
            <w:tcW w:w="3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180" w:type="dxa"/>
            <w:vAlign w:val="bottom"/>
            <w:tcBorders>
              <w:top w:val="single" w:sz="8" w:color="0000FF"/>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8"/>
        </w:trPr>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121" w:lineRule="exact"/>
        <w:rPr>
          <w:sz w:val="20"/>
          <w:szCs w:val="20"/>
          <w:color w:val="auto"/>
        </w:rPr>
      </w:pPr>
    </w:p>
    <w:p>
      <w:pPr>
        <w:ind w:firstLine="869"/>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Forward-looking statements, which are based on certain assumptions and describe our future plans, strategies and expectations, can generally be identified by the use of forward-looking terms such as “believe,” “expect,” “may,” “will,” “should,” “would,” “could,” “seek,” “intend,” “plan,” “goal,” “project,” “estimate,” “anticipate,” “strategy,” “future,” “likely” or other comparable terms. All statements, other than statements of historical fact, contained in this Annual Report on Form 10-K, including statements regarding our strategy, future operations, future financial position, future revenue, projected costs, prospects, plans and objectives of management, are forward-looking statements.</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forward-looking statements in this Annual Report on Form 10-K include, among other things, statements about:</w:t>
      </w:r>
    </w:p>
    <w:p>
      <w:pPr>
        <w:spacing w:after="0" w:line="117" w:lineRule="exact"/>
        <w:rPr>
          <w:sz w:val="20"/>
          <w:szCs w:val="20"/>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ongoing and planned preclinical studies and any future clinical trials and our research and development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 for additional financing;</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projected operating requirements with our existing cash resources and the period in which we expect that such cash resources will enable us to fund such operating requirements;</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our drug product candidates, including our prioritization of our autoimmune programs, including CUE-401 and the CUE-500 series (excluding CUE-501, which has been licensed to Boehringer Ingelheim International GmbH);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to obtain and maintain regulatory approvals for, our drug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drug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drug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drug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drug product candidates or technologies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general economic and market conditions, inflation, and the imposition of new or revised global trade tariffs;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funding.</w:t>
      </w:r>
    </w:p>
    <w:p>
      <w:pPr>
        <w:spacing w:after="0" w:line="225" w:lineRule="exact"/>
        <w:rPr>
          <w:sz w:val="20"/>
          <w:szCs w:val="20"/>
          <w:color w:val="auto"/>
        </w:rPr>
      </w:pPr>
    </w:p>
    <w:p>
      <w:pPr>
        <w:ind w:right="40" w:firstLine="562"/>
        <w:spacing w:after="0" w:line="254"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the factors discussed below under the heading “Risk Factor Summary,” and the risk factors detailed further in Item 1A., “Risk Factors” of Part I of this Annual Report on Form 10-K.</w:t>
      </w:r>
    </w:p>
    <w:p>
      <w:pPr>
        <w:spacing w:after="0" w:line="8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3" w:name="page4"/>
    <w:bookmarkEnd w:id="3"/>
    <w:p>
      <w:pPr>
        <w:ind w:right="80"/>
        <w:spacing w:after="0" w:line="258" w:lineRule="auto"/>
        <w:rPr>
          <w:sz w:val="20"/>
          <w:szCs w:val="20"/>
          <w:color w:val="auto"/>
        </w:rPr>
      </w:pPr>
      <w:r>
        <w:rPr>
          <w:rFonts w:ascii="Times New Roman" w:cs="Times New Roman" w:eastAsia="Times New Roman" w:hAnsi="Times New Roman"/>
          <w:sz w:val="18"/>
          <w:szCs w:val="18"/>
          <w:color w:val="auto"/>
        </w:rPr>
        <w:t>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drug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43"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Any forward-looking statement made by us in this Annual Report on Form 10-K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17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9"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Investment in our securities involves risk. You should carefully consider the following summary of what we believe to be the principal risks facing our business, in addition to the risks described more fully in Item 1A, “Risk Factors” of Part I of this Annual Report on Form 10-K and other information included in this report. The risks and uncertainties described below are not the only risks and uncertainties we face. Additional risks and uncertainties not presently known to us or that we presently deem less significant may also impair our business operations.</w:t>
      </w:r>
    </w:p>
    <w:p>
      <w:pPr>
        <w:spacing w:after="0" w:line="139" w:lineRule="exact"/>
        <w:rPr>
          <w:sz w:val="20"/>
          <w:szCs w:val="20"/>
          <w:color w:val="auto"/>
        </w:rPr>
      </w:pPr>
    </w:p>
    <w:p>
      <w:pPr>
        <w:ind w:right="60" w:firstLine="897"/>
        <w:spacing w:after="0" w:line="266" w:lineRule="auto"/>
        <w:rPr>
          <w:sz w:val="20"/>
          <w:szCs w:val="20"/>
          <w:color w:val="auto"/>
        </w:rPr>
      </w:pPr>
      <w:r>
        <w:rPr>
          <w:rFonts w:ascii="Times New Roman" w:cs="Times New Roman" w:eastAsia="Times New Roman" w:hAnsi="Times New Roman"/>
          <w:sz w:val="18"/>
          <w:szCs w:val="18"/>
          <w:color w:val="auto"/>
        </w:rPr>
        <w:t>If any of the following risks occurs, our business, financial condition and results of operations and future growth prospects could be materially and adversely affected, and the actual outcomes of matters as to which forward-looking statements are made in this report could be materially different from those anticipated in such forward-looking statements.</w:t>
      </w:r>
    </w:p>
    <w:p>
      <w:pPr>
        <w:spacing w:after="0" w:line="68"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recurring losses from operations raise substantial doubt regarding our ability to continue as a going concern.</w:t>
      </w:r>
    </w:p>
    <w:p>
      <w:pPr>
        <w:spacing w:after="0" w:line="117" w:lineRule="exact"/>
        <w:rPr>
          <w:rFonts w:ascii="Times New Roman" w:cs="Times New Roman" w:eastAsia="Times New Roman" w:hAnsi="Times New Roman"/>
          <w:sz w:val="18"/>
          <w:szCs w:val="18"/>
          <w:color w:val="231F20"/>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have no history of generating commercial revenue, have a history of operating losses and may never achieve or maintain profitability.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do not have, and may never develop, any FDA-approved or commercialized products.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drug product candidates, and significant additional research and development and clinical testing will be required before we can potentially seek regulatory approval for or commercialize any of our drug product candidates.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conducting clinical trials and no history of commercializing biologic products, which may make it difficult to evaluate the prospects for our future viability.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early clinical trials may not be indicative of results obtained in later trials.</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continue to seek collaborations or strategic alliances. However, we may not be able to establish such relationships, and relationships we have established may not provide the expected benefits.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identify additional drug product candidates. Due to our limited resources and access to capital, we must prioritize the development of certain drug product candidates; these decisions may prove to be wrong and may adversely affect our business.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 Our competitors may be able to develop other compounds or drugs that are able to achieve similar or better results than our drug product candidates.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If these third parties do not successfully carry out their contractual duties or meet expected deadlines, we may not be able to successfully complete development of, obtain regulatory approval for, or commercialize our drug product candidates and our business could be substantially harmed.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completely on third parties to manufacture our preclinical and clinical drug supplies for our drug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licensor(s) are unable to protect our or its intellectual property, then our financial condition, results of operations and the value of our technology and potential products could be adversely affected.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or any collaborators we may have, obtain marketing approvals for any of our drug product candidates, the terms of approvals and ongoing regulation of our products could require the substantial expenditure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4" w:name="page5"/>
    <w:bookmarkEnd w:id="4"/>
    <w:p>
      <w:pPr>
        <w:ind w:left="503" w:right="300"/>
        <w:spacing w:after="0" w:line="282" w:lineRule="auto"/>
        <w:rPr>
          <w:sz w:val="20"/>
          <w:szCs w:val="20"/>
          <w:color w:val="auto"/>
        </w:rPr>
      </w:pPr>
      <w:r>
        <w:rPr>
          <w:rFonts w:ascii="Times New Roman" w:cs="Times New Roman" w:eastAsia="Times New Roman" w:hAnsi="Times New Roman"/>
          <w:sz w:val="18"/>
          <w:szCs w:val="18"/>
          <w:color w:val="auto"/>
        </w:rPr>
        <w:t>resources and may limit how we, or they, manufacture and market our products, which could materially impair our ability to generate revenue.</w:t>
      </w:r>
    </w:p>
    <w:p>
      <w:pPr>
        <w:spacing w:after="0" w:line="54" w:lineRule="exact"/>
        <w:rPr>
          <w:sz w:val="20"/>
          <w:szCs w:val="20"/>
          <w:color w:val="auto"/>
        </w:rPr>
      </w:pPr>
    </w:p>
    <w:p>
      <w:pPr>
        <w:ind w:left="503" w:hanging="503"/>
        <w:spacing w:after="0" w:line="266" w:lineRule="auto"/>
        <w:tabs>
          <w:tab w:leader="none" w:pos="503"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will need substantial additional financing to support our growth and ongoing operations. Additional capital may be difficult to obtain, restrict our operations, require us to relinquish rights to our technologies or drug product candidates, encumber our assets and result in ongoing debt service cost, or result in additional dilution to our stockholders.</w:t>
      </w:r>
    </w:p>
    <w:p>
      <w:pPr>
        <w:spacing w:after="0" w:line="392" w:lineRule="exact"/>
        <w:rPr>
          <w:sz w:val="20"/>
          <w:szCs w:val="20"/>
          <w:color w:val="auto"/>
        </w:rPr>
      </w:pPr>
    </w:p>
    <w:p>
      <w:pPr>
        <w:jc w:val="center"/>
        <w:ind w:right="19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3"/>
          </w:cols>
          <w:pgMar w:left="837" w:top="1282"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a novel class of injectable therapeutics engineered to selectively engage and modulate disease-specific T cells for the treatment of autoimmune and inflammatory diseases. Unlike conventional approaches that broadly activate the immune system, our Immuno-STAT® platform is designed to selectively modulate disease-relevant T cells, enhancing efficacy while minimizing off-target effects. We believe our Immuno-STAT platform holds the promise of producing drug product candidates with the potential of establishing new standards of care in the treatment of autoimmune and inflammatory diseases. Our programs include, but are not limited to, drug product candidates designed to:</w:t>
      </w:r>
    </w:p>
    <w:p>
      <w:pPr>
        <w:spacing w:after="0" w:line="75" w:lineRule="exact"/>
        <w:rPr>
          <w:sz w:val="20"/>
          <w:szCs w:val="20"/>
          <w:color w:val="auto"/>
        </w:rPr>
      </w:pPr>
    </w:p>
    <w:p>
      <w:pPr>
        <w:ind w:left="1020" w:right="100" w:hanging="503"/>
        <w:spacing w:after="0" w:line="261"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CUE-400 series (Autoimmune Diseases): Exploit transforming growth factor beta (TGF-β) and Interleukin 2 (IL-2) signaling to induce an anti-inflammatory process, with a novel and unique mechanism to not only foster proliferation of regulatory T cells (Tregs) but also induce Tregs from T effector cells with the potential of restoring immune balance and functional immune tolerance (e.g., CUE-401 for autoimmune conditions).</w:t>
      </w:r>
    </w:p>
    <w:p>
      <w:pPr>
        <w:spacing w:after="0" w:line="71" w:lineRule="exact"/>
        <w:rPr>
          <w:rFonts w:ascii="Times New Roman" w:cs="Times New Roman" w:eastAsia="Times New Roman" w:hAnsi="Times New Roman"/>
          <w:sz w:val="18"/>
          <w:szCs w:val="18"/>
          <w:color w:val="231F20"/>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CUE-500 series (Targeted Cell Depletion): Redirect anti-viral killer T cells to target and eliminate defined pathogenic cells (e.g., CUE-501 for autoimmune B cell depletion, which has been licensed to Boehringer Ingelheim International GmbH).</w:t>
      </w:r>
    </w:p>
    <w:p>
      <w:pPr>
        <w:spacing w:after="0" w:line="53" w:lineRule="exact"/>
        <w:rPr>
          <w:rFonts w:ascii="Times New Roman" w:cs="Times New Roman" w:eastAsia="Times New Roman" w:hAnsi="Times New Roman"/>
          <w:sz w:val="18"/>
          <w:szCs w:val="18"/>
          <w:color w:val="231F20"/>
        </w:rPr>
      </w:pPr>
    </w:p>
    <w:p>
      <w:pPr>
        <w:ind w:left="1020" w:right="420" w:hanging="503"/>
        <w:spacing w:after="0" w:line="266" w:lineRule="auto"/>
        <w:tabs>
          <w:tab w:leader="none" w:pos="102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CUE-100 series (Oncology): Selectively activate and expand tumor-specific T cells (e.g., CUE-101 for HPV+ cancers and CUE-102 for Wilms’ tumor 1 protein (WT1), expressing cancers, both of which have been licensed to ImmunoScape Pte. Ltd. for development in oncology indications).</w:t>
      </w:r>
    </w:p>
    <w:p>
      <w:pPr>
        <w:spacing w:after="0" w:line="149" w:lineRule="exact"/>
        <w:rPr>
          <w:sz w:val="20"/>
          <w:szCs w:val="20"/>
          <w:color w:val="auto"/>
        </w:rPr>
      </w:pPr>
    </w:p>
    <w:p>
      <w:pPr>
        <w:ind w:right="920" w:firstLine="749"/>
        <w:spacing w:after="0" w:line="282" w:lineRule="auto"/>
        <w:rPr>
          <w:sz w:val="20"/>
          <w:szCs w:val="20"/>
          <w:color w:val="auto"/>
        </w:rPr>
      </w:pPr>
      <w:r>
        <w:rPr>
          <w:rFonts w:ascii="Times New Roman" w:cs="Times New Roman" w:eastAsia="Times New Roman" w:hAnsi="Times New Roman"/>
          <w:sz w:val="18"/>
          <w:szCs w:val="18"/>
          <w:color w:val="auto"/>
        </w:rPr>
        <w:t>We aim to leverage our differentiated platform to establish new standards of care, forge strategic partnerships, and accelerate clinical development.</w:t>
      </w:r>
    </w:p>
    <w:p>
      <w:pPr>
        <w:spacing w:after="0" w:line="16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As represented in the following image, the Immuno-STAT framework is engineered to be highly flexible and modular, potentially enabling us to deploy the same or similar core functional elements to restore immune balance across diverse therapeutic approaches.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Immuno-STAT Platform Pipeline of Assets for Restoration of Immune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154305</wp:posOffset>
            </wp:positionV>
            <wp:extent cx="5554980" cy="3077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5498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 w:name="page7"/>
    <w:bookmarkEnd w:id="6"/>
    <w:p>
      <w:pPr>
        <w:ind w:left="760"/>
        <w:spacing w:after="0"/>
        <w:rPr>
          <w:sz w:val="20"/>
          <w:szCs w:val="20"/>
          <w:color w:val="auto"/>
        </w:rPr>
      </w:pPr>
      <w:r>
        <w:rPr>
          <w:rFonts w:ascii="Times New Roman" w:cs="Times New Roman" w:eastAsia="Times New Roman" w:hAnsi="Times New Roman"/>
          <w:sz w:val="18"/>
          <w:szCs w:val="18"/>
          <w:u w:val="single" w:color="auto"/>
          <w:color w:val="auto"/>
        </w:rPr>
        <w:t>CUE-401</w:t>
      </w:r>
    </w:p>
    <w:p>
      <w:pPr>
        <w:spacing w:after="0" w:line="185"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In autoimmune disease, Tregs are the master regulators of maintaining immune homeostasis, or balance, and health. Autoreactive T cells, referred to as T effector cells (Teff cells), are reactive against “self” proteins and foster inflammation and induce chronic tissue damage. Tregs are important to maintaining immune balance in that they possess the ability to dampen and control the Teff cells.</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lead candidate, CUE-401, is a preclinical, bifunctional fusion protein designed to promote immune tolerance by modulating key components of the immune system, including the induction of newly formed Tregs (iTregs) from Teff cells, the expansion of existing or natural regulatory T cells (nTregs), and the reduction of pro-inflammatory autoreactive cells. Through the co-activity of engineered variants of TGF-β and IL-2, CUE-401 has the therapeutic potential to re-establish immune balance and induce tolerance across a range of T cell mediated autoimmune and inflammatory diseases.</w:t>
      </w:r>
    </w:p>
    <w:p>
      <w:pPr>
        <w:spacing w:after="0" w:line="7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CUE-401 has been engineered to harness the capacity of TGF-β to re-establish immune balance combined with the complementary signaling of IL-2, to provide an anti-inflammatory environment, as well as Treg induction and expansion for what we believe will provide long-lasting tolerance, which is considered to be the ultimate goal of treating autoimmune disease. In addition, the TGF-β moiety has the potential to reduce inflammation as well as reduce the number of pathogenic pro-inflammatory cells in the autoimmune disease setting.</w:t>
      </w:r>
    </w:p>
    <w:p>
      <w:pPr>
        <w:spacing w:after="0" w:line="153"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CUE-401, our first-in-class, bifunctional molecule integrating a masked TGF-ß with our clinically validated, attenuated IL-2 variant, is designed to address multiple hurdles to fully exploit the therapeutic potential of an immunology master switch. This novel design provides for “conditional binding” to avoid off target activity and has generated highly differentiated data in multiple preclinical autoimmune animal disease models.</w:t>
      </w:r>
    </w:p>
    <w:p>
      <w:pPr>
        <w:spacing w:after="0" w:line="13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these preclinical animal models, CUE-401 behaves as a master switch to reduce inflammation and pro-inflammatory cells, as well as convert autoreactive Teff cells into iTregs, which express FoxP3, the hallmark transcription factor that characterizes stable Tregs. These findings suggest that CUE-401 acts by establishing a “tolerance positive feedback loop” that not only increases nonspecific Treg populations (natural Tregs) but also reduces and converts specific autoreactive T cells into transdifferentiated iTregs that are specific to the disease-causing autoantigens.</w:t>
      </w:r>
    </w:p>
    <w:p>
      <w:pPr>
        <w:spacing w:after="0" w:line="7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believe these results, along with advances in the manufacturing of CUE-401, have substantially reduced the risk profile for the development of this program, and we have selected a lead candidate molecule. Scale-up manufacturing and other IND-enabling studies for CUE-401 are nearing completion, with GLP toxicology studies having been completed in both mice and non-human primate species. We are preparing to file an investigational new drug (IND) application in the second quarter of 2026. Our Phase 1 trial for CUE-401 will consist of a two-part study, comprised of a single ascending dose and a multiple ascending dose in healthy volunteers. We anticipate receiving human safety data starting in the second half of 2026. We anticipate that these early clinical trial results will provide pharmacokinetic and pharmacodynamic evidence and further support the underlying premise of establishing immune balance and inducing durable immune tolerance with CUE-401. We believe this could represent a potential breakthrough as a new standard of care in multiple high-value autoimmune disease indications.</w:t>
      </w:r>
    </w:p>
    <w:p>
      <w:pPr>
        <w:spacing w:after="0" w:line="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CUE-500 Series</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CUE-500 series has been developed to enable targeted anti-viral T cell-mediated depletion of pathogenic cell types, including autoreactive B cells. We believe these biologics have the potential to achieve immune balance in autoimmune patients and are significantly differentiated from other competing approaches such as bifunctional antibody drug conjugates, pan-T cell engagers, IL-2 muteins, TNFR2 agonists, and CAR-T therapies.</w:t>
      </w:r>
    </w:p>
    <w:p>
      <w:pPr>
        <w:spacing w:after="0" w:line="135"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CUE-500 series represents a novel approach to selectively target disease-causing cells by redirecting existing anti-viral memory T cells to target and deplete such disease-causing cells. CUE-501, for which we entered into a collaboration and license agreement with Boehringer Ingelheim International GmbH (BI) in April 2025, is being developed to target and deplete autoimmune disease-causing B cells, in patients with autoimmune disease caused by autoreactive, pathogenic B cells. Targeted B cell depletion is widely recognized in the industry as a clinically validated and important approach for the treatment of B cell mediated autoimmune and inflammatory diseases, and we believe the selective mechanism of action exploiting the anti-viral memory T cell repertoire will provide highly effective killing of the targeted cells while preventing or substantially reducing the side effect profile often experienced with competing approaches.</w:t>
      </w:r>
    </w:p>
    <w:p>
      <w:pPr>
        <w:spacing w:after="0" w:line="162"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Due to its modularity, we believe that the CUE-500 series has therapeutic potential across multiple disease areas. The mode of redirecting a defined population of already existing anti-viral T cells may apply to many pathogenic cell types readily addressed by swapping different cell-targeting antibody domains into the CUE-500 series framework.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7" w:name="page8"/>
    <w:bookmarkEnd w:id="7"/>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We believe the preclinical data generated to date for CUE-401 and the CUE-500 series demonstrates the intended mechanistic effect of these novel approaches for the potential treatment of autoimmune disease, and each represent potential breakthrough therapeutic opportunities for significant patient populations and potential near-term value creation opportunities for our shareholders.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CUE-100 Series</w:t>
      </w:r>
    </w:p>
    <w:p>
      <w:pPr>
        <w:spacing w:after="0" w:line="22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Historically, we primarily focused our resources on the development of our CUE-100 series for oncology, namely the CUE-101 and CUE-102 drug product candidates, which are representative of our approach to selectively activate targeted CD8+ T cells against cancer, both of which have been licensed to ImmunoScape Pte. Ltd., or IMSCP, to advance a novel in vivo approach to cell therapy for the treatment of solid tumors. Under our Collaboration and License Agreement with IMSCP, IMSCP is developing a novel Seed-and-Boost immunotherapy that combines our clinically validated Immuno-STAT T-cell engagers, the CUE-100 series, with IMSCP’s proprietary tumor-specific T cell receptors, or TCRs. The combination therapy is designed to overcome core limitations of existing cell therapies and to potentially establish a new standard of care with superior anti-tumor activity, durable T cell persistence and product scalability.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Operation</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approach to developing precision immunotherapies has yielded a growing portfolio of novel proteins with the potential to address multiple unmet needs across autoimmune diseases. We believe that our science is derisked with clinical tolerability and activity from our Phase 1 clinical trials of CUE-101 and CUE-102, with the potential for significant market opportunities. As a result of our insights and learnings from our growing body of supportive data, we believe our corresponding strategic plans position us well to optimize shareholder value.</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intend to maximize this value by focusing on the development of CUE-401, for which we are preparing to file an IND application in the second quarter of 2026. We have also successfully established collaborations across our pipeline, such as our strategic collaboration and license agreements with BI for the development of CUE-501, and IMSCP for the development of our CUE-100 series.</w:t>
      </w:r>
    </w:p>
    <w:p>
      <w:pPr>
        <w:spacing w:after="0" w:line="6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a development-stage company, the majority of our business activities to date have been, and our planned future activities will be, devoted to furthering research and development of our drug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License Agreement with Einstein</w:t>
      </w:r>
    </w:p>
    <w:p>
      <w:pPr>
        <w:spacing w:after="0" w:line="12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On January 14, 2015, or the Effective Date, we entered into a license agreement, as amended and restated on July 31, 2017 and as further amended on October 30, 2018, January 13, 2024 and April 10, 2025, or the Einstein License, with Albert Einstein College of Medicine, or Einstein, for certain patent rights, or the Patents, relating to our core technology platform for the engineering of biologics to control T cell activity, precision, immune-modulatory drug product candidates, and two supporting technologies that enable the discovery of costimulatory signaling molecules (ligands) and T cell targeting peptides. We hold an exclusive worldwide license, with the right to sublicense, import, make, have made, use, provide, offer to sell, and sell all products, processes and services that use the Patents, including certain technology received from Einstein related thereto, which we refer to as the Licensed Products.</w:t>
      </w:r>
    </w:p>
    <w:p>
      <w:pPr>
        <w:spacing w:after="0" w:line="8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Einstein License is a royalty-bearing license obligating us to pay a percentage of proceeds received from sales of categories of Licensed Products at low single digit rates. We have also agreed to share a portion of our proceeds that we derive from other agreements, like sublicense agreements, that we may enter into relating to the Licensed Products. The percentage of such proceeds that we are required to pay Einstein ranges from the low to mid-teens, depending on how far we have developed a Licensed Product before we enter into an agreement relating to the Licensed Product. These percentages are reduced for sales of Licensed Products in countries where a competing product exists and for products or services involving the use or incorporation of technology received from Einstein relating to synapse for targeted T cell activation molecules, receptor ligand identification or platforms for T cell monitoring. In addition to our obligation to pay royalties based upon a percentage of proceeds from sales of Licensed Products, we have also agreed to pay Einstein annual maintenance fees. The maintenance payments are non-refundable, but are creditable against any royalty payments we pay under the Einstein License. For the year ended December 31, 2025, there were no payments related to Einstein license maintenance fees under the Einstein License, as they were creditable against actual payments owed to Einstein during the twelve-month period.</w:t>
      </w:r>
    </w:p>
    <w:p>
      <w:pPr>
        <w:spacing w:after="0" w:line="86" w:lineRule="exact"/>
        <w:rPr>
          <w:sz w:val="20"/>
          <w:szCs w:val="20"/>
          <w:color w:val="auto"/>
        </w:rPr>
      </w:pPr>
    </w:p>
    <w:p>
      <w:pPr>
        <w:jc w:val="both"/>
        <w:ind w:right="40" w:firstLine="749"/>
        <w:spacing w:after="0" w:line="261" w:lineRule="auto"/>
        <w:rPr>
          <w:sz w:val="20"/>
          <w:szCs w:val="20"/>
          <w:color w:val="auto"/>
        </w:rPr>
      </w:pPr>
      <w:r>
        <w:rPr>
          <w:rFonts w:ascii="Times New Roman" w:cs="Times New Roman" w:eastAsia="Times New Roman" w:hAnsi="Times New Roman"/>
          <w:sz w:val="18"/>
          <w:szCs w:val="18"/>
          <w:color w:val="auto"/>
        </w:rPr>
        <w:t>Under the Einstein License, we are also obligated to make milestone payments corresponding to: (i) approval of the first IND by the U.S. Food and Drug Administration, or the FDA, or foreign equivalent for a Licensed Product; (ii) approval of any subsequent IND application or foreign equivalent for a “new indication” for a Licensed Product; (iii) initiation of Phase 2 clinical trials or foreign equivalent on a Licensed Product; (iv) initiation of Phase 2 clinical trials or foreign equivalent for a</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8" w:name="page9"/>
    <w:bookmarkEnd w:id="8"/>
    <w:p>
      <w:pPr>
        <w:spacing w:after="0" w:line="255" w:lineRule="auto"/>
        <w:rPr>
          <w:sz w:val="20"/>
          <w:szCs w:val="20"/>
          <w:color w:val="auto"/>
        </w:rPr>
      </w:pPr>
      <w:r>
        <w:rPr>
          <w:rFonts w:ascii="Times New Roman" w:cs="Times New Roman" w:eastAsia="Times New Roman" w:hAnsi="Times New Roman"/>
          <w:sz w:val="18"/>
          <w:szCs w:val="18"/>
          <w:color w:val="auto"/>
        </w:rPr>
        <w:t>“new indication” for a Licensed Product; (v) initiation of Phase 3 clinical trials or foreign equivalent on a Licensed Product; (vi) initiation of Phase 3 clinical trials or foreign equivalent for a “new indication” for a Licensed Product; (vii) the first commercial sale of a Licensed Product; (viii) the first commercial sale of each “new indication” for one of our previously approved Licensed Products; and (ix) cumulative sales of certain Licensed Products reaching certain threshold amounts. The aggregate amount of milestone payments made under the Einstein License may equal up to $1.85 million for each Licensed Product and up to $1.85 million for each new indication of a Licensed Product. Additionally, the aggregate amount of one-time milestone payments based on cumulative sales of all Licensed Products may equal up to $5.75 million. At December 31, 2025, we have made payments totaling $1.2 million since inception with respect to achievement of these milestones.</w:t>
      </w:r>
    </w:p>
    <w:p>
      <w:pPr>
        <w:spacing w:after="0" w:line="81" w:lineRule="exact"/>
        <w:rPr>
          <w:sz w:val="20"/>
          <w:szCs w:val="20"/>
          <w:color w:val="auto"/>
        </w:rPr>
      </w:pPr>
    </w:p>
    <w:p>
      <w:pPr>
        <w:ind w:right="280" w:firstLine="749"/>
        <w:spacing w:after="0" w:line="312" w:lineRule="auto"/>
        <w:rPr>
          <w:sz w:val="20"/>
          <w:szCs w:val="20"/>
          <w:color w:val="auto"/>
        </w:rPr>
      </w:pPr>
      <w:r>
        <w:rPr>
          <w:rFonts w:ascii="Times New Roman" w:cs="Times New Roman" w:eastAsia="Times New Roman" w:hAnsi="Times New Roman"/>
          <w:sz w:val="17"/>
          <w:szCs w:val="17"/>
          <w:color w:val="auto"/>
        </w:rPr>
        <w:t>In addition to our obligations to make the cash payments to Einstein described above, under the Einstein License we issued Einstein 671,572 shares of our Common Stock immediately prior to completion of the initial public offering of our common stock completed on December 27, 2017.</w:t>
      </w:r>
    </w:p>
    <w:p>
      <w:pPr>
        <w:spacing w:after="0" w:line="32"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 Einstein License expires upon the expiration of our last obligation to make royalty payments to Einstein, which may be due with respect to certain Licensed Products, unless terminated earlier under the provisions thereof. Under the Einstein License, we will be obligated to make royalty payments to Einstein, with respect to certain Licensed Products, for the longer of 15 years from the first sale of such products in each country or for the duration of any market exclusivity period granted by a regulatory agency for such product and, with respect to certain Licensed Products sold by sublicensees, the longer of 10 years from the first sale of such products in each country or for so long as the sublicensee agrees to pay royalties on such products. We have the right to terminate the Einstein License at any time upon 60 days’ written notice to Einstein; provided, however, that we will lose intellectual property rights related to the Patents if we choose to terminate the Einstein License in this manner. Each party has the right to terminate the Einstein License if the other party is in default or breach of any condition of the Einstein License with a right to cure any such breach within 60 days from receipt of notice of such default or breach, unless the other party has disputed the alleged breach in good faith. Either party can also terminate the Einstein License if the other party voluntarily files for bankruptcy or other similar insolvency proceedings, makes a general assignment for the benefit of creditors, or is the subject of an involuntary bankruptcy petition that is not dismissed within 90 days. If we fail to pay any sum that is due and payable to Einstein within 30 days after receiving written notice of our default from Einstein, then Einstein has the option of terminating the Einstein License unless we pay within 45 days of such notice all delinquent sums with interest.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Einstein License also obligates us to meet certain due diligence requirements, or the Diligence Milestones, as follows:</w:t>
      </w:r>
    </w:p>
    <w:p>
      <w:pPr>
        <w:spacing w:after="0" w:line="225" w:lineRule="exact"/>
        <w:rPr>
          <w:sz w:val="20"/>
          <w:szCs w:val="20"/>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our research and development plan annually;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Phase 1 clinical trials on a Licensed Product within a number of years from the Effective Date;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Phase 2 clinical trials on a Licensed Product within a number of years from the Effective Date;</w:t>
      </w:r>
    </w:p>
    <w:p>
      <w:pPr>
        <w:spacing w:after="0" w:line="225" w:lineRule="exact"/>
        <w:rPr>
          <w:rFonts w:ascii="Times New Roman" w:cs="Times New Roman" w:eastAsia="Times New Roman" w:hAnsi="Times New Roman"/>
          <w:sz w:val="18"/>
          <w:szCs w:val="18"/>
          <w:color w:val="auto"/>
        </w:rPr>
      </w:pPr>
    </w:p>
    <w:p>
      <w:pPr>
        <w:ind w:left="1140" w:right="200" w:hanging="383"/>
        <w:spacing w:after="0" w:line="28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Phase 3 clinical trials on a Licensed Product or an FDA approved clinical trial designed to support a biologics license application within a number of years from the Effective Date;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 application for FDA approval to market and sell a Licensed Product within a number of years from the Effective Date;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first commercial sale of an FDA Licensed Product within a number of years from the Effective Date;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spend a minimum amount per year on product development until our first commercial sale of a Licensed Product.</w:t>
      </w:r>
    </w:p>
    <w:p>
      <w:pPr>
        <w:spacing w:after="0" w:line="22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If we fail to meet any of the Diligence Milestones, Einstein will have the right to terminate the Einstein License if such Diligence Milestone is not satisfied within thirty days from receiving a written notice of default from Einstein. Under certain circumstances and upon prior notice to Einstein, we may have the right to an additional extension of our Diligence Milestones if, despite our commercially reasonable efforts we are not able to satisfy the Phase 3 clinical trial Diligence Milestone or any subsequent Diligence Milestone. As of the date of this report, we have met all required Diligence Milestones.</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82" w:right="419" w:bottom="1440" w:gutter="0" w:footer="0" w:header="0"/>
        </w:sectPr>
      </w:pPr>
    </w:p>
    <w:bookmarkStart w:id="9" w:name="page10"/>
    <w:bookmarkEnd w:id="9"/>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On April 10, 2025, we entered into an amendment to the Einstein License. Pursuant to the amendment, Einstein consented to our entry into the BI Collaboration and License Agreement and granted us the right to sublicense to BI (each as defined below). In addition, we and Einstein agreed to amend specified upstream payment obligations that may be owed to Einstein by us, solely in connection with the sublicense to BI. In the second quarter of 2025, we paid Einstein $0.9 million in fees in relation to the amendment to this license with Einstein.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 Agreement with LG Chem</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On November 6, 2018, we entered into a Collaboration, License and Option Agreement, as amended from time to time, or the LG Chem Collaboration Agreement, with LG Chem Ltd., or LG Chem, pertaining to the development of CUE-101 and CUE-102 Immuno-STATs in Australia and in certain countries in Asia, or the LG Chem Territory.</w:t>
      </w:r>
    </w:p>
    <w:p>
      <w:pPr>
        <w:spacing w:after="0" w:line="17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furtherance of pursuing strategic options pertaining to CUE-101, on March 11, 2025, we regained our rights to the LG Chem Territory for the CUE-101 program, which had previously been licensed to LG Chem, and LG Chem terminated all of its rights to the same program. We also agreed to make future payments to LG Chem, if and when one or more potential scenarios related to the CUE-101 program occur, up to a predetermined aggregate amount.</w:t>
      </w:r>
    </w:p>
    <w:p>
      <w:pPr>
        <w:spacing w:after="0" w:line="396"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LG Chem continues to maintain its interest and rights in the CUE-102 program, targeting WT1 expressing cancers, pursuant to the LG Chem Collaboration Agreement. See discussion of the LG Chem Collaboration Agreement in Note 10 to our consolidated financial statements appearing elsewhere in this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 and Option Agreement with Ono</w:t>
      </w:r>
    </w:p>
    <w:p>
      <w:pPr>
        <w:spacing w:after="0" w:line="229"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Effective March 6, 2025, we regained worldwide development and commercialization rights for CUE-401, which had previously been licensed to Ono Pharmaceutical pursuant to a Collaboration and Option Agreement entered into in February 2023. See discussion of the Collaboration and Option Agreement in Note 10 to our consolidated financial statements appearing elsewhere in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 and License Agreement with BI</w:t>
      </w:r>
    </w:p>
    <w:p>
      <w:pPr>
        <w:spacing w:after="0" w:line="202" w:lineRule="exact"/>
        <w:rPr>
          <w:sz w:val="20"/>
          <w:szCs w:val="20"/>
          <w:color w:val="auto"/>
        </w:rPr>
      </w:pPr>
    </w:p>
    <w:p>
      <w:pPr>
        <w:ind w:right="420" w:firstLine="315"/>
        <w:spacing w:after="0" w:line="282" w:lineRule="auto"/>
        <w:rPr>
          <w:sz w:val="20"/>
          <w:szCs w:val="20"/>
          <w:color w:val="auto"/>
        </w:rPr>
      </w:pPr>
      <w:r>
        <w:rPr>
          <w:rFonts w:ascii="Times New Roman" w:cs="Times New Roman" w:eastAsia="Times New Roman" w:hAnsi="Times New Roman"/>
          <w:sz w:val="18"/>
          <w:szCs w:val="18"/>
          <w:color w:val="auto"/>
        </w:rPr>
        <w:t>On April 10, 2025, we entered into a Collaboration and License Agreement, or the BI Collaboration and License Agreement, with BI to research, develop and commercialize differentiated B cell depletion molecules, including CUE-501.</w:t>
      </w:r>
    </w:p>
    <w:p>
      <w:pPr>
        <w:spacing w:after="0" w:line="162"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Under the terms of the BI Collaboration and License Agreement, we and BI will conduct collaborative research focused on CUE-501 during a four-year period or, if earlier, the completion of activities under the research plans, or the BI Research Term. In addition to, or instead of, CUE-501, BI may elect, at its sole discretion, to include additional or alternative compounds targeted at B cell depletion. BI will have an exclusive, royalty-bearing, worldwide, sublicensable license, under our applicable patents and know-how, to develop, manufacture and commercialize such compounds and their derivatives, or BI Licensed Products, for all uses, and BI shall be responsible for all further research, preclinical and clinical development, manufacturing, regulatory approvals, and commercialization of BI Licensed Products at its expense. During the BI Research Term, we are prohibited from developing or commercializing any molecule for applications in B cell depletion. See discussion of the BI Collaboration and License Agreement in Note 10 to our consolidated financial statements appearing elsewhere in this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 and License Agreement with ImmunoScape</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November 6, 2025, IMSCP exercised its option, or the Option, to obtain licenses to research, develop and commercialize molecules from our CUE-100 series, including CUE-101 and CUE-102, subject to certain exclusions , for all oncology indications pursuant to a Collaboration and License Agreement, effective November 6, 2025, between us and IMSCP, or the IMSCP Collaboration and License Agreement. The licenses provided pursuant to the IMSCP Collaboration and License Agreement include a co-exclusive development license for five years or, if longer, for so long as IMSCP has a specified number of CUE-100 series molecules under active development and, pursuant to which, we retain non-exclusive research rights to support our other programs, or the co-exclusive development license. We also retain our rights to the CUE-100 series, including CUE-101 and CUE-102, for use in any manner other than as a component of a cell therapy product for 18 months past the effective date of the IMSCP Collaboration and License Agreement. The licenses also include an exclusive commercial license to IMSCP for any CUE-100 series molecule that IMSCP advances to IND-enabling studies while the co-exclusive development license is in effect. The licensed series of molecules will be further developed and potentially commercialized by IMSCP. The Option was exercised pursuant to an Option Agreement between us and IMSCP, dated</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0" w:right="379" w:bottom="1440" w:gutter="0" w:footer="0" w:header="0"/>
        </w:sectPr>
      </w:pPr>
    </w:p>
    <w:bookmarkStart w:id="10" w:name="page11"/>
    <w:bookmarkEnd w:id="10"/>
    <w:p>
      <w:pPr>
        <w:ind w:right="80"/>
        <w:spacing w:after="0" w:line="261" w:lineRule="auto"/>
        <w:rPr>
          <w:sz w:val="20"/>
          <w:szCs w:val="20"/>
          <w:color w:val="auto"/>
        </w:rPr>
      </w:pPr>
      <w:r>
        <w:rPr>
          <w:rFonts w:ascii="Times New Roman" w:cs="Times New Roman" w:eastAsia="Times New Roman" w:hAnsi="Times New Roman"/>
          <w:sz w:val="18"/>
          <w:szCs w:val="18"/>
          <w:color w:val="auto"/>
        </w:rPr>
        <w:t>October 22, 2025, or the Option Agreement. In connection with entry into the Option Agreement and IMSCP’s exercise of the Option, we received an aggregate of $9.5 million, net of withholding taxes, in the fourth quarter of 2025 and are entitled to receive an additional $5.0 million before the first anniversary of the effective date of the IMSCP Collaboration and License Agreement. See discussion of the IMSCP Collaboration and License Agreement in Note 10 to our consolidated financial statements appearing elsewhere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Intellectual Property</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believe that our current patents and patent applications and any future patents and other proprietary rights that we own, or control through licensing, are and will be essential to our business. We believe that these intellectual property rights will affect our ability to compete effectively with others. We also rely and will rely on trade secrets, know-how, continuing technological innovations and licensing opportunities to develop, maintain and strengthen our competitive position. We seek to protect these, in part, through confidentiality agreements with certain employees, consultants, advisors and other parties. Our success will depend in part on our ability, and the ability of our licensors, to obtain, maintain (including making periodic filings and payments) and enforce patent protection for our/their intellectual property, including those patents and patent applications to which we have secured exclusive rights.</w:t>
      </w:r>
    </w:p>
    <w:p>
      <w:pPr>
        <w:spacing w:after="0" w:line="189" w:lineRule="exact"/>
        <w:rPr>
          <w:sz w:val="20"/>
          <w:szCs w:val="20"/>
          <w:color w:val="auto"/>
        </w:rPr>
      </w:pPr>
    </w:p>
    <w:p>
      <w:pPr>
        <w:jc w:val="both"/>
        <w:ind w:right="36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2025, we owned or had licensed 161 issued patents (including 31 issued U.S. patents), 308 pending patent applications (including 63 in the U.S.), 5 pending U.S. provisional patent applications, 10 pending PCT (international) applications, and 230 pending foreign patent applications.</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patent applications describe certain features of our technologies, including our Immuno-STAT platform, our Neo-STAT platform, CAR-T and ex-vivo applications of our Immuno-STAT platform, our RDI-STAT platform, our CUE-300 Series platform, including CUE-301, our CUE-400 Series platform, including CUE-401, as well as specific biologic molecules, drug product candidates and methods of treatment using our Immuno-STATs. In addition, we have pending applications that cover CUE-501 and the CUE-500 series and their use in oncology and autoimmune indications. We plan to spend considerable resources and focus in the future on obtaining U.S. and foreign patents. We have and will continue to actively protect our intellectual property. No assurances can be given that any of our patent applications will result in the issuance of a patent or that the examination process will not require us to narrow our claims. In addition, any issued patents may be contested, circumvented, found unenforceable or invalid, and we may not be able to successfully enforce our patent rights against third parties. No assurance can be given that others will not independently develop a similar or competing technology or design around any patents that may be issued to us. We intend to expand our international operations in the future and our patent portfolio, copyright, trademark and trade secret protections may not be available or may be limited in foreign countries.</w:t>
      </w:r>
    </w:p>
    <w:p>
      <w:pPr>
        <w:spacing w:after="0" w:line="194"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Each of our patents, if and when granted, will generally have a term of 20 years from its respective U.S. or international non-provisional priority filing date, subject to available extensions. They are thus set to expire no earlier than dates ranging from 2033 to 2045, although patents that specifically cover our drug product candidates will expire no earlier than December 2037, subject to available extensions.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Immuno-STAT platform offers a differentiated approach by targeting disease-relevant T cells without inducing systemic toxicity seen in traditional immunotherapies. While we believe that our drug product candidates, technology, knowledge and experience provide us with significant competitive advantages, we face competition from established and emerging pharmaceutical and biotechnology companies, academic institutions, governmental agencies and public and private research institutions, among others, who may have drug product candidates in further stages of development than ours.</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compete with other companies working to develop cytokines to restore immune balance, as well as those developing other therapeutic modalities, including monoclonal antibodies, bi-specific antibodies, cell therapies, and vaccines with application in treating patients living with autoimmune disease. Potential competitors in the cytokine-based therapy space include Amgen, Bristol-Myers Squibb, Merck &amp; Co., Nektar Therapeutics, Sanofi S.A., TRex Bio, and RegCell. In the regulatory T cell therapies space, potential competitors include Coya Therapeutics, Quell Therapeutics, EVOQ Therapeutics, and Sonoma Biotherapeutics.</w:t>
      </w:r>
    </w:p>
    <w:p>
      <w:pPr>
        <w:spacing w:after="0" w:line="183" w:lineRule="exact"/>
        <w:rPr>
          <w:sz w:val="20"/>
          <w:szCs w:val="20"/>
          <w:color w:val="auto"/>
        </w:rPr>
      </w:pPr>
    </w:p>
    <w:p>
      <w:pPr>
        <w:ind w:right="380" w:firstLine="749"/>
        <w:spacing w:after="0" w:line="285" w:lineRule="auto"/>
        <w:rPr>
          <w:sz w:val="20"/>
          <w:szCs w:val="20"/>
          <w:color w:val="auto"/>
        </w:rPr>
      </w:pPr>
      <w:r>
        <w:rPr>
          <w:rFonts w:ascii="Times New Roman" w:cs="Times New Roman" w:eastAsia="Times New Roman" w:hAnsi="Times New Roman"/>
          <w:sz w:val="18"/>
          <w:szCs w:val="18"/>
          <w:color w:val="auto"/>
        </w:rPr>
        <w:t>We believe that our approach provides us with a superior competitive advantage and differentiation, with a potentially first-in-class, masked TGF-b and IL-2 designed to address the underlying mechanism of disease by rebalancing the Treg and effector cell ratio</w:t>
      </w:r>
      <w:r>
        <w:rPr>
          <w:rFonts w:ascii="Arial" w:cs="Arial" w:eastAsia="Arial" w:hAnsi="Arial"/>
          <w:sz w:val="18"/>
          <w:szCs w:val="18"/>
          <w:color w:val="auto"/>
        </w:rPr>
        <w:t>.</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11" w:name="page12"/>
    <w:bookmarkEnd w:id="11"/>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Many of our competitors have greater financial, technical and human resources than we do. Additionally, many competitors have greater experience in product discovery and development, obtaining FDA and other regulatory approvals, and commercialization capabilities, which may provide them with a competitive advantage.</w:t>
      </w:r>
    </w:p>
    <w:p>
      <w:pPr>
        <w:spacing w:after="0" w:line="176"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We expect any drug product candidate that we commercialize, either independently or with our strategic partners, will compete with existing, market-leading products and believe that our ability to compete will depend on our ability to execute on the following objectives:</w:t>
      </w:r>
    </w:p>
    <w:p>
      <w:pPr>
        <w:spacing w:after="0" w:line="162" w:lineRule="exact"/>
        <w:rPr>
          <w:sz w:val="20"/>
          <w:szCs w:val="20"/>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 and commercialize products that are superior to other products in the market in terms of, among other things, safety, efficacy, convenience, or price;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and/or other proprietary protection for our processes and drug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favorable reimbursement, formulary and guideline status;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collaborate with others in the design, development and commercialization of our products.</w:t>
      </w:r>
    </w:p>
    <w:p>
      <w:pPr>
        <w:spacing w:after="0" w:line="22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Established competitors may invest heavily to discover and develop novel compounds that could make our drug product candidates obsolete. In addition, any new product that competes with an approved product must demonstrate compelling advantages in efficacy, convenience, tolerability and/or safety in order to obtain approval, to overcome price competition and to be commercially successful. If we are not able to compete effectively, our business will not grow and our financial condition and operations will suffer.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Licensure of Products</w:t>
      </w:r>
    </w:p>
    <w:p>
      <w:pPr>
        <w:spacing w:after="0" w:line="229" w:lineRule="exact"/>
        <w:rPr>
          <w:sz w:val="20"/>
          <w:szCs w:val="20"/>
          <w:color w:val="auto"/>
        </w:rPr>
      </w:pPr>
    </w:p>
    <w:p>
      <w:pPr>
        <w:ind w:right="100" w:firstLine="749"/>
        <w:spacing w:after="0" w:line="219" w:lineRule="exact"/>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or EU, extensively regulate, among other things, the research, development, testing, manufacture, pricing, reimbursement, sales, quality control, approval, packaging, storage, recordkeeping, labeling, advertising, promotion, distribution, marketing,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monitoring and reporting, and import and export of pharmaceutical products, including biological products.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 and may have a significant impact on our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Licensure and Regulation of Biologics in the United States</w:t>
      </w:r>
    </w:p>
    <w:p>
      <w:pPr>
        <w:spacing w:after="0" w:line="229" w:lineRule="exact"/>
        <w:rPr>
          <w:sz w:val="20"/>
          <w:szCs w:val="20"/>
          <w:color w:val="auto"/>
        </w:rPr>
      </w:pPr>
    </w:p>
    <w:p>
      <w:pPr>
        <w:ind w:right="60" w:firstLine="749"/>
        <w:spacing w:after="0" w:line="219" w:lineRule="exact"/>
        <w:rPr>
          <w:sz w:val="20"/>
          <w:szCs w:val="20"/>
          <w:color w:val="auto"/>
        </w:rPr>
      </w:pPr>
      <w:r>
        <w:rPr>
          <w:rFonts w:ascii="Times New Roman" w:cs="Times New Roman" w:eastAsia="Times New Roman" w:hAnsi="Times New Roman"/>
          <w:sz w:val="18"/>
          <w:szCs w:val="18"/>
          <w:color w:val="auto"/>
        </w:rPr>
        <w:t>In the United States, our drug product candidates are regulated as biological products, or biologics, under the Public Health Service Act, or the PHSA, and the Federal Food, Drug and Cosmetic Act, or the FDCA, and their implementing regulations and guidance. A company, institution, or organization which takes responsibility for the initiation and management of a clinical development program for such products, and for their regulatory approval, is typically referred to as a sponsor. The failure to comply with the applicable U.S. requirements at any time during the product development process, including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testing, clinical testing, the approval process or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process, may subject a sponsor to delays in the conduct of the study, regulatory review and approval, and/or administrative or judicial sanctions. A sponsor seeking approval to market and distribute a new biologic in the United States generally must satisfactorily complete each of the following steps:</w:t>
      </w:r>
    </w:p>
    <w:p>
      <w:pPr>
        <w:spacing w:after="0" w:line="201" w:lineRule="exact"/>
        <w:rPr>
          <w:sz w:val="20"/>
          <w:szCs w:val="20"/>
          <w:color w:val="auto"/>
        </w:rPr>
      </w:pPr>
    </w:p>
    <w:p>
      <w:pPr>
        <w:ind w:left="1140" w:right="160" w:hanging="383"/>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all performed in accordance with the FDA’s Good Laboratory Practice, or GLP, regulations and standards and other applicable regulations;</w:t>
      </w:r>
    </w:p>
    <w:p>
      <w:pPr>
        <w:spacing w:after="0" w:line="161"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current Good Manufacturing Practices, or GMP, conditions, of the drug substance and drug product that the sponsor intends to use in human clinical trials along with required analytical and stability testing;</w:t>
      </w:r>
    </w:p>
    <w:p>
      <w:pPr>
        <w:spacing w:after="0" w:line="161"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investigational new drug application, or IND, application for human clinical testing, which must become effective before human clinical trials may begin;</w:t>
      </w:r>
    </w:p>
    <w:p>
      <w:pPr>
        <w:spacing w:after="0" w:line="161" w:lineRule="exact"/>
        <w:rPr>
          <w:rFonts w:ascii="Times New Roman" w:cs="Times New Roman" w:eastAsia="Times New Roman" w:hAnsi="Times New Roman"/>
          <w:sz w:val="18"/>
          <w:szCs w:val="18"/>
          <w:color w:val="auto"/>
        </w:rPr>
      </w:pPr>
    </w:p>
    <w:p>
      <w:pPr>
        <w:ind w:left="5540" w:right="380" w:hanging="4783"/>
        <w:spacing w:after="0" w:line="532" w:lineRule="auto"/>
        <w:tabs>
          <w:tab w:leader="none" w:pos="11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2" w:name="page13"/>
    <w:bookmarkEnd w:id="12"/>
    <w:p>
      <w:pPr>
        <w:ind w:left="1140" w:right="220" w:hanging="383"/>
        <w:spacing w:after="0" w:line="245" w:lineRule="exact"/>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human clinical trials to establish the safety, potency, and purity of the product candidate for each proposed indication, in accordance with current Good Clinical Practices, or GCP;</w:t>
      </w:r>
    </w:p>
    <w:p>
      <w:pPr>
        <w:spacing w:after="0" w:line="198" w:lineRule="exact"/>
        <w:rPr>
          <w:rFonts w:ascii="Times New Roman" w:cs="Times New Roman" w:eastAsia="Times New Roman" w:hAnsi="Times New Roman"/>
          <w:sz w:val="18"/>
          <w:szCs w:val="18"/>
          <w:color w:val="auto"/>
        </w:rPr>
      </w:pPr>
    </w:p>
    <w:p>
      <w:pPr>
        <w:ind w:left="1140" w:right="240" w:hanging="383"/>
        <w:spacing w:after="0" w:line="26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biologics license application, or BLA, for a biologic product requesting marketing for one or more proposed indications, including submission of detailed information on the manufacture and composition of the product in clinical development and proposed labelling;</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225" w:lineRule="exact"/>
        <w:rPr>
          <w:rFonts w:ascii="Times New Roman" w:cs="Times New Roman" w:eastAsia="Times New Roman" w:hAnsi="Times New Roman"/>
          <w:sz w:val="18"/>
          <w:szCs w:val="18"/>
          <w:color w:val="auto"/>
        </w:rPr>
      </w:pPr>
    </w:p>
    <w:p>
      <w:pPr>
        <w:ind w:left="1140" w:right="80" w:hanging="383"/>
        <w:spacing w:after="0" w:line="261"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including those of third parties, at which the product, or components thereof, are produced to assess compliance with GMP requirements and to assure that the chemistry, methods, and controls, or CMC, for the product are adequate to preserve the product’s identity, strength, quality, and purity, and, if applicable, the FDA’s current good tissue practice for the use of human cellular and tissue products;</w:t>
      </w:r>
    </w:p>
    <w:p>
      <w:pPr>
        <w:spacing w:after="0" w:line="138" w:lineRule="exact"/>
        <w:rPr>
          <w:rFonts w:ascii="Times New Roman" w:cs="Times New Roman" w:eastAsia="Times New Roman" w:hAnsi="Times New Roman"/>
          <w:sz w:val="18"/>
          <w:szCs w:val="18"/>
          <w:color w:val="auto"/>
        </w:rPr>
      </w:pPr>
    </w:p>
    <w:p>
      <w:pPr>
        <w:ind w:left="1140" w:right="300" w:hanging="383"/>
        <w:spacing w:after="0" w:line="245" w:lineRule="exact"/>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and clinical trial sites to assure compliance with GCPs and the integrity of clinical data in support of the BLA;</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substantial application and program fees pursuant to the Prescription Drug User Free Act, or PDUFA;</w:t>
      </w:r>
    </w:p>
    <w:p>
      <w:pPr>
        <w:spacing w:after="0" w:line="225" w:lineRule="exact"/>
        <w:rPr>
          <w:rFonts w:ascii="Times New Roman" w:cs="Times New Roman" w:eastAsia="Times New Roman" w:hAnsi="Times New Roman"/>
          <w:sz w:val="18"/>
          <w:szCs w:val="18"/>
          <w:color w:val="auto"/>
        </w:rPr>
      </w:pPr>
    </w:p>
    <w:p>
      <w:pPr>
        <w:ind w:left="1140" w:right="620" w:hanging="383"/>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FDA approval of the BLA and licensure of the new biologic product allowing marketing in the United States for particular indications and under certain conditions; and</w:t>
      </w:r>
    </w:p>
    <w:p>
      <w:pPr>
        <w:spacing w:after="0" w:line="120" w:lineRule="exact"/>
        <w:rPr>
          <w:rFonts w:ascii="Times New Roman" w:cs="Times New Roman" w:eastAsia="Times New Roman" w:hAnsi="Times New Roman"/>
          <w:sz w:val="18"/>
          <w:szCs w:val="18"/>
          <w:color w:val="auto"/>
        </w:rPr>
      </w:pPr>
    </w:p>
    <w:p>
      <w:pPr>
        <w:ind w:left="1140" w:right="520" w:hanging="383"/>
        <w:spacing w:after="0" w:line="259" w:lineRule="exact"/>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requirements, including the potential requirement to implement a Risk Evaluation and Mitigation Strategy, or REMS, and any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studies required by the FDA.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Before testing any biologic product candidate in humans, a product candidate must undergo preclinical testing. Preclinical tests include laboratory evaluations of product chemistry, formulation and stability, as well as studies to evaluate the potential for efficacy and toxicity in animal studies. These studies are generally referred to as IND-enabling studies. The conduct of the preclinical tests and formulation of the compounds for testing must comply with federal regulations and requirements, including GLP regulations and standards and the United States Department of Agriculture’s Animal Welfare Act, if applicable. The results of the preclinical tests, together with manufacturing information and analytical data, are submitted to the FDA as part of an IND application.</w:t>
      </w:r>
    </w:p>
    <w:p>
      <w:pPr>
        <w:spacing w:after="0" w:line="18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With passage of the FDA’s Modernization Act 2.0 in December 2022, Congress eliminated provisions in both the FDCA and the PHSA that required animal testing in support of a BLA. While animal testing may still be conducted, the FDA was authorized to rely on alternative non-clinical tests, including cell-based assays, microphysiological systems, or bioprinted or computer models. In April 2025, the FDA released a roadmap to replace animal testing in preclinical safety studies with scientifically validated new approach methodologies.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 Process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 or recommence.</w:t>
      </w:r>
    </w:p>
    <w:p>
      <w:pPr>
        <w:spacing w:after="0" w:line="143"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As a result, submission of the IND may result in the FDA not allowing the trials to commence or allowing the trial to commence on the terms originally specified by the sponsor in the IND. If the FDA raises concerns or questions either during this initial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period or following commencement of the clinical trial, it may choose to impose a partial or complete clinical hold. Clinical holds are imposed by the FDA whenever there is concern for patient safety and may be a result of new data, findings, or developments in clinical, nonclinical, and/or CMC. This order issued by the FDA would delay either a proposed clinical study or cause suspension of an ongoing study, until all outstanding concerns have been adequately addressed and the FDA has notified the company that investigations may proceed. This could cause significant delays or difficulties in completing planned clinical studies in a timely manner.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Expanded Access to an Investigational Drug for Treatment Use</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products for patients who may benefit from investigational therapies.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initiation, conduct, or completion of clinical investigations that could support marketing approval of the product or otherwise compromise the potential development of the product.</w:t>
      </w:r>
    </w:p>
    <w:p>
      <w:pPr>
        <w:spacing w:after="0" w:line="18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There is no obligation for a sponsor to make its drug products available for expanded access; however, as required by the 21st Century Cures Act, or the Cures Act, passed in 2016, if a sponsor has a policy regarding how it responds to expanded access requests, it must make that policy publicly available. Although these requirements were rolled out over time, they have now come into full effect. Sponsors are required to make such policies publicly available upon the earlier of initiation of a Phase 2 or Phase 3 study; or 15 days after the investigational drug or biologic receives designation as a breakthrough therapy, fast track product, or regenerative medicine advanced therapy.</w:t>
      </w:r>
    </w:p>
    <w:p>
      <w:pPr>
        <w:spacing w:after="0" w:line="183"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 federal framework for certain patients to access certain investigational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manufacturer to make its investigational products available to eligible patients as a result of the Right to Try 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Clinical Trials in Support of a BLA</w:t>
      </w:r>
    </w:p>
    <w:p>
      <w:pPr>
        <w:spacing w:after="0" w:line="229"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to be treated under the supervision of a qualified principal investigator in accordance with GCP requirements. Clinical trials are conducted under study protocols detailing, among other things, the objectives of the study,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183"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IRB or the clinical trial sponsor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4" w:name="page15"/>
    <w:bookmarkEnd w:id="14"/>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monitoring committee, or DMC. This group may recommend continuation of the study as planned, changes in study conduct, or cessation of the study at designated check points based on certain available data from the study to which only the DMC has access. Finally, research activities involving infectious agents, hazardous chemicals, recombinant DNA, and genetically altered organisms and agents may be subject to review and approval of an Institutional Biosafety Committee in accordance with U.S. National Institutes of Health, or NIH, Guidelines for Research Involving Recombinant or Synthetic Nucleic Acid Molecules.</w:t>
      </w:r>
    </w:p>
    <w:p>
      <w:pPr>
        <w:spacing w:after="0" w:line="18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Additional studies may be required after approval.</w:t>
      </w:r>
    </w:p>
    <w:p>
      <w:pPr>
        <w:spacing w:after="0" w:line="160" w:lineRule="exact"/>
        <w:rPr>
          <w:sz w:val="20"/>
          <w:szCs w:val="20"/>
          <w:color w:val="auto"/>
        </w:rPr>
      </w:pPr>
    </w:p>
    <w:p>
      <w:pPr>
        <w:ind w:left="1140" w:right="120" w:hanging="383"/>
        <w:spacing w:after="0" w:line="267"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on occasion, in patients, such as cancer patients.</w:t>
      </w:r>
    </w:p>
    <w:p>
      <w:pPr>
        <w:spacing w:after="0" w:line="173" w:lineRule="exact"/>
        <w:rPr>
          <w:rFonts w:ascii="Times New Roman" w:cs="Times New Roman" w:eastAsia="Times New Roman" w:hAnsi="Times New Roman"/>
          <w:sz w:val="18"/>
          <w:szCs w:val="18"/>
          <w:color w:val="auto"/>
        </w:rPr>
      </w:pPr>
    </w:p>
    <w:p>
      <w:pPr>
        <w:ind w:left="1140" w:right="180" w:hanging="383"/>
        <w:spacing w:after="0" w:line="290" w:lineRule="auto"/>
        <w:tabs>
          <w:tab w:leader="none" w:pos="11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Phase 2 </w:t>
      </w:r>
      <w:r>
        <w:rPr>
          <w:rFonts w:ascii="Times New Roman" w:cs="Times New Roman" w:eastAsia="Times New Roman" w:hAnsi="Times New Roman"/>
          <w:sz w:val="17"/>
          <w:szCs w:val="17"/>
          <w:color w:val="auto"/>
        </w:rPr>
        <w:t>clinical trials are generally conducted in a limited patient population to identify possible adverse effects and safety risks, evaluate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55" w:lineRule="exact"/>
        <w:rPr>
          <w:rFonts w:ascii="Times New Roman" w:cs="Times New Roman" w:eastAsia="Times New Roman" w:hAnsi="Times New Roman"/>
          <w:sz w:val="17"/>
          <w:szCs w:val="17"/>
          <w:color w:val="auto"/>
        </w:rPr>
      </w:pPr>
    </w:p>
    <w:p>
      <w:pPr>
        <w:ind w:left="1140" w:right="20" w:hanging="383"/>
        <w:spacing w:after="0" w:line="220" w:lineRule="exact"/>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20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some cases, the FDA may approve a BLA for a product candidate but require the sponsor to conduct additional clinical trials to further assess the product candidate’s safety and effectiveness after approval. Such trials are typically referred to as post-approval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post-approval clinical trial requirement or to request a change in the product labeling. Failure to exhibit due diligence with regard to conducting post-approval clinical trials could result in withdrawal of approval for products.</w:t>
      </w:r>
    </w:p>
    <w:p>
      <w:pPr>
        <w:spacing w:after="0" w:line="18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Generally, pivotal trials are Phase 3 trials, but they may be Phase 2 trials if the design provides a well-controlled and reliable assessment of clinical benefit, particularly in an area of unmet medical need.</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March 2022, the FDA released final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the FDA. Expansion cohort trials can potentially bring efficiency to product development and reduce developmental costs and time.</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December 2022, with the passage of the Food and Drug Omnibus Reform Act, or FDORA, Congress required sponsors to develop and submit a diversity action plan, or DAP, for each Phase 3 clinical trial or any other “pivotal study” of a new drug or biological product. These plans are meant to encourage the enrollment of more diverse patient populations in late-stage clinical trials of FDA-regulated products. Specifically, DAPs must include the sponsor’s goals for enrollment, the underlying rationale for those goals, and an explanation of how the sponsor intends to meet them. In addition to these requirements, the legislation directed the FDA to issue new guidance on DAPs. In June 2024, the FDA issued draft guidance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5" w:name="page16"/>
    <w:bookmarkEnd w:id="15"/>
    <w:p>
      <w:pPr>
        <w:ind w:right="60"/>
        <w:spacing w:after="0" w:line="266" w:lineRule="auto"/>
        <w:rPr>
          <w:sz w:val="20"/>
          <w:szCs w:val="20"/>
          <w:color w:val="auto"/>
        </w:rPr>
      </w:pPr>
      <w:r>
        <w:rPr>
          <w:rFonts w:ascii="Times New Roman" w:cs="Times New Roman" w:eastAsia="Times New Roman" w:hAnsi="Times New Roman"/>
          <w:sz w:val="18"/>
          <w:szCs w:val="18"/>
          <w:color w:val="auto"/>
        </w:rPr>
        <w:t>setting out its policies for the collection of race and ethnicity data in clinical trials. Unlike most guidance documents issued by the FDA, the DAP guidance when finalized will have the force of law because FDORA specifically dictates that the form and manner for submission of DAPs are specified in FDA guidance.</w:t>
      </w:r>
    </w:p>
    <w:p>
      <w:pPr>
        <w:spacing w:after="0" w:line="176"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On January 27, 2025, in response to an Executive Order issued by President Trump on January 21, 2025, on Diversity, Equity and Inclusion programs, the FDA removed this draft guidance from its website. Subsequently, in July 2025, pursuant to a court order, the FDA restored the draft DAP guidance to its website with a statement that “information on this page may be modified and/or removed in the future subject to the terms of the court’s order and implemented consistent with applicable law.” In light of these ongoing actions, there is considerable uncertainty surrounding the draft DAP guidance and how the FDA will consider diversity action plans in connection with its review of NDAs.</w:t>
      </w:r>
    </w:p>
    <w:p>
      <w:pPr>
        <w:spacing w:after="0" w:line="183"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In September 2025, the FDA issued final guidance with updated recommendations for GCPs aimed at modernizing the design and conduct of clinical trials. The updates are intended to help pave the way for more efficient clinical trials to facilitate the development of medical products. The final guidance is adopted from the International Council for Harmonisation’s recently updated E6(R3) final guideline that was developed to enable the incorporation of rapidly developing technological and methodological innovations into the clinical trial enterprise. In addition, the FDA issued final guidance outlining recommendations for the implementation of decentralized clinical trials.</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October 2025, the FDA issued final guidance that focuses on patient-focused drug development. The guidance outlines how stakeholders, such as patients, caregivers, researchers and medical product developers, can submit patient experience data in support of the development and approval of drug products. To that end, the guidance provides an overview of clinical outcome assessments, or COAs, in clinical trials, and the role that COAs may play in evaluating the clinical benefit of a medical product.</w:t>
      </w:r>
    </w:p>
    <w:p>
      <w:pPr>
        <w:spacing w:after="0" w:line="18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February 2026, the Commissioner of Food and Drugs (the Commissioner) and the Director of the Center for Biologics Evaluation and Research published an editorial in the New England Journal of Medicine in which they declared that, in most cases, the new default requirement for FDA approval of a new product will be one adequate and well-controlled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The FDA has long had authority to approve new products on the basis of one trial plus confirmatory evidence and, in recent years, the agency has exercised that authority with respect to certain types of products. The FDA now takes the position that this will be the new official default standard for most product candidates. At this point, it is unclear how this new policy will be implemented by the FDA and how, if at all, it will affect our clinical development programs.</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Finally, sponsors of clinical trials are required to register and disclose certain clinical trial information on a public registry (clinicaltrials.gov) maintained by the NIH. In particular, information related to the product, patient population, phase of investigation, study sites and investigators and other aspects of the clinical trial is made public as part of the registration of the clinical trial. Although the FDA has historically not enforced these reporting requirements, the FDA has issued, as of January 31, 2026, eight notices of non-compliance, thereby signaling the government’s willingness to begin enforcing these requirements against non-compliant clinical trial sponsors. While these notices of non-compliance did not result in civil monetary penalties, the failure to submit clinical trial information to clinicaltrials.gov is a prohibited act under the FDCA with violations subject to potential civil monetary penalties of up to $10,000 for each day the violation continues. Violations may also result in injunctions and/or criminal prosecution or disqualification from federal grants.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Studies Outside the United States in Support of FDA Approval</w:t>
      </w:r>
    </w:p>
    <w:p>
      <w:pPr>
        <w:spacing w:after="0" w:line="18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our clinical development program, we may conduct trials at sites outside the United States. 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the studies must be conducted in accordance with GCP, including undergoing review and receiving approval by an independent ethics committee, or IEC, and seeking and receiving informed consent from subjects.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6" w:name="page17"/>
    <w:bookmarkEnd w:id="16"/>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The acceptance by the FDA of study data from clinical trials conducted outside the United States in support of U.S. approval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8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Interactions with FDA During the Clinical Development Program</w:t>
      </w:r>
    </w:p>
    <w:p>
      <w:pPr>
        <w:spacing w:after="0" w:line="18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 xml:space="preserve">Following the clearance of an IND and the commencement of clinical trials, the sponsor will continue to have interactions with the FDA. Progress reports detailing the results of clinical trials must be submitted annually within 60 days of the anniversary dates that the IND went into effect and more frequently if serious adverse events occur. These reports must include a development safety update report, or DSUR. In addition, IND safety reports must be submitted to the FDA for any of the following: serious and unexpected suspected adverse reactions; findings from other trials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 and any clinically important increase in the occurrence of a serious suspected adverse reaction over that listed in the protocol or investigator brochure.</w:t>
      </w:r>
    </w:p>
    <w:p>
      <w:pPr>
        <w:spacing w:after="0" w:line="18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sponsors are given opportunities to meet with the FDA at certain points in the clinical development program. Meetings at other times may also be requested. There are five types of meetings that occur between sponsors and the FDA. Type A meetings are those that are necessary for an otherwise stalled product development program to proceed or to address an important safety issue. Type B meetings include pre-IND and pre-BLA meetings, as well as end of phase meetings such as EOP2 meetings. A Type C meeting is any meeting other than a Type A or Type B meeting regarding the development and review of a product, including for example meetings to facilitate early consultations on the use of a biomarker as a new surrogate endpoint that has never been previously used as the primary basis for product approval in the proposed context of use. A Type D meeting is focused on a narrow set of issues, which should be limited to no more than two focused topics and should not require input from more than three disciplines or divisions. Finally, INTERACT meetings are intended for novel products and development programs that present unique challenges in the early development of an investigational product.</w:t>
      </w:r>
    </w:p>
    <w:p>
      <w:pPr>
        <w:spacing w:after="0" w:line="188"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At the conclusion of these meetings, the FDA will typically provide its responses to questions posed by the sponsor regarding the clinical development program. The FDA will not indicate whether a BLA will be approved, but it will provide guidance to the sponsor on various questions, including whether an application should be submitted in the first place on the basis of the studies and data proposed by the sponsor. The agency may also generally express support for the sponsor’s approach in the clinical development program but indicate that questions concerning whether the data support approval will be subject to review by the agency following its acceptance for filing of the BLA. 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Studies</w:t>
      </w:r>
    </w:p>
    <w:p>
      <w:pPr>
        <w:spacing w:after="0" w:line="229"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Under the Pediatric Research Equity Act of 2003, or PREA, a BLA or supplement thereto must contain data that are adequate to assess the safety, potency and purity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 In May 2023, the FDA issued new draft guidance that further describes the pediatric study requirements under PREA.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7" w:name="page18"/>
    <w:bookmarkEnd w:id="17"/>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For products intended to treat a serious or life-threatening disease or condition, the FDA must, upon the request of a sponsor, meet to discuss preparation of the initial pediatric study plan or to discuss deferral or waiver of pediatric assessments. In addition, FDA will meet early in the development process to discuss pediatric study plans with sponsors and FDA must meet with sponsors by no later than the end-of-phase 1 meeting for serious or life-threatening diseases and by no later than 90 days after FDA’s receipt of the study plan.</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FDA is required to send a PREA Non-Compliance letter to sponsors who have failed to submit their pediatric assessments required under PREA, have failed to seek or obtain a deferral or deferral extension or have failed to request approval for a required pediatric formulation. Unless otherwise required by regulation, the pediatric data requirements do not apply to products with orphan designation, although the FDA has taken steps to limit what it considers abuse of this statutory exemption in PREA. The FDA also maintains a list of diseases that are exempt from PREA requirements due to low prevalence of disease in the pediatric population. In May 2023, the FDA issued new draft guidance that further describes the pediatric study requirements under PREA.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GMP Requirements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FDA’s regulations require that pharmaceutical products be manufactured in specific approved facilities and in accordance with GMPs. The 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w:t>
      </w:r>
    </w:p>
    <w:p>
      <w:pPr>
        <w:spacing w:after="0" w:line="187" w:lineRule="exact"/>
        <w:rPr>
          <w:sz w:val="20"/>
          <w:szCs w:val="20"/>
          <w:color w:val="auto"/>
        </w:rPr>
      </w:pPr>
    </w:p>
    <w:p>
      <w:pPr>
        <w:ind w:right="160" w:firstLine="749"/>
        <w:spacing w:after="0" w:line="219" w:lineRule="exact"/>
        <w:rPr>
          <w:sz w:val="20"/>
          <w:szCs w:val="20"/>
          <w:color w:val="auto"/>
        </w:rPr>
      </w:pPr>
      <w:r>
        <w:rPr>
          <w:rFonts w:ascii="Times New Roman" w:cs="Times New Roman" w:eastAsia="Times New Roman" w:hAnsi="Times New Roman"/>
          <w:sz w:val="18"/>
          <w:szCs w:val="18"/>
          <w:color w:val="auto"/>
        </w:rPr>
        <w:t>Any product manufactured by or imported from a facility that has not registered, whether foreign or domestic, is deemed misbranded under the FDCA. The PREVENT Pandemics Act, which was enacted in December 2022, clarifies that foreign drug manufacturing establishments are subject to registration and listing requirements even if a drug or biologic undergoes further manufacture, preparation, propagation, compounding, or processing at a separate establishment outside the United States prior to being imported or offered for import into the United States. Establishments may be subject to periodic unannounced inspections by government authorities to ensure compliance with GMPs and other laws. Inspections must follow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198" w:lineRule="exact"/>
        <w:rPr>
          <w:sz w:val="20"/>
          <w:szCs w:val="20"/>
          <w:color w:val="auto"/>
        </w:rPr>
      </w:pPr>
    </w:p>
    <w:p>
      <w:pPr>
        <w:jc w:val="both"/>
        <w:ind w:right="60" w:firstLine="749"/>
        <w:spacing w:after="0" w:line="261" w:lineRule="auto"/>
        <w:rPr>
          <w:sz w:val="20"/>
          <w:szCs w:val="20"/>
          <w:color w:val="auto"/>
        </w:rPr>
      </w:pPr>
      <w:r>
        <w:rPr>
          <w:rFonts w:ascii="Times New Roman" w:cs="Times New Roman" w:eastAsia="Times New Roman" w:hAnsi="Times New Roman"/>
          <w:sz w:val="18"/>
          <w:szCs w:val="18"/>
          <w:color w:val="auto"/>
        </w:rPr>
        <w:t>Changes to the manufacturing process, specifications or container closure system for an approved product are strictly regulated and often require prior FDA approval before being implemented. The FDA’s regulations also require, among other things, the investigation and correction of any deviations from GMP and the imposition of reporting and documentation requirements upon the sponsor and any third-party manufacturers involved in producing the approved product.</w:t>
      </w:r>
    </w:p>
    <w:p>
      <w:pPr>
        <w:spacing w:after="0" w:line="180"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In May 2025, the FDA disclosed plans to expand its use of unannounced inspections of foreign manufacturing facilities that produce drugs and biologics distributed in the United States. Subsequently, in August 2025, the FDA introduced a “PreCheck” program with the intention of supporting companies as they build new facilities in the United States. The PreCheck program provides manufacturers with more frequent FDA communication at critical development stages, including facility design, construction, and pre-production. These FDA initiatives flow from an Executive Order issued by President Trump on May 5, 2025, calling for actions to reduce regulatory barriers to pharmaceutical manufacturing in the United States.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Submission and Filing for Review of a BLA</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results of product candidate development, preclinical testing, and clinical trials, including negative or ambiguous results as well as positive findings, are submitted to the FDA as part of a BLA requesting a license to market the product. The BLA must contain extensive manufacturing information and detailed information on the composition of the product and proposed labeling as well as payment of a user fee. Under federal law, the submission of most BLAs is subject to an application user fee, which for federal fiscal year 2026 is $4,682,003 for an application requiring clinical data. The sponsor of a licensed BLA is also subject to an annual program fee, which for federal fiscal year 2026 is $442,213. Certain exceptions and waivers are available for some of these fees, such as an exception from the application fee for products with orphan designation and a waiver for certain small businesses.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8" w:name="page19"/>
    <w:bookmarkEnd w:id="18"/>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The FDA conducts a preliminary review of all applications within 60 days of receipt and must inform the sponsor at that time or before whether an application is sufficiently complete to permit substantive review. In the event that the FDA determines that an application does not satisfy this standard, it will issue a Refuse to File, or RTF, determination to the sponsor. The FDA may request additional information and studies, and the application must be resubmitted with the additional information. The resubmitted application is subject to review before the FDA accepts it for filing.</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Typically, an RTF will be based on administrative incompleteness, such as clear omission of information or sections of required information. In October 2025, the FDA issued internal guidance clarifying that “materially incomplete or inadequately organized” applications that would not permit timely, efficient and complete review will be the subject of an RTF. The internal guidance also provides that the agency will issue an RTF for an application that relies on a single adequate and well-controlled investigation to support approval if prior communications with the FDA determined the need for more than one clinical study and any justification for a single investigation is inadequate.</w:t>
      </w:r>
    </w:p>
    <w:p>
      <w:pPr>
        <w:spacing w:after="0" w:line="143" w:lineRule="exact"/>
        <w:rPr>
          <w:sz w:val="20"/>
          <w:szCs w:val="20"/>
          <w:color w:val="auto"/>
        </w:rPr>
      </w:pPr>
    </w:p>
    <w:p>
      <w:pPr>
        <w:ind w:firstLine="794"/>
        <w:spacing w:after="0" w:line="226" w:lineRule="exact"/>
        <w:rPr>
          <w:sz w:val="20"/>
          <w:szCs w:val="20"/>
          <w:color w:val="auto"/>
        </w:rPr>
      </w:pPr>
      <w:r>
        <w:rPr>
          <w:rFonts w:ascii="Times New Roman" w:cs="Times New Roman" w:eastAsia="Times New Roman" w:hAnsi="Times New Roman"/>
          <w:sz w:val="18"/>
          <w:szCs w:val="18"/>
          <w:color w:val="auto"/>
        </w:rPr>
        <w:t>Once the submission has been accepted for filing, the FDA begins an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depth review of the application. Under the goals and policies agreed to by the FDA under the PDUFA, the FDA has ten months in which to complete its initial review of a standard application and respond to the sponsor, and six months for a priority review of the application. The FDA does not always meet its PDUFA goal dates for standard and priority BLAs. The review process may often be significantly extended by FDA requests for additional information or clarification. The review process and the PDUFA goal date may be extended by three months if the FDA requests or if the sponsor otherwise provides additional information or clarification regarding information already provided in the submission within the last three months before the PDUFA goal date.</w:t>
      </w:r>
    </w:p>
    <w:p>
      <w:pPr>
        <w:spacing w:after="0" w:line="202" w:lineRule="exact"/>
        <w:rPr>
          <w:sz w:val="20"/>
          <w:szCs w:val="20"/>
          <w:color w:val="auto"/>
        </w:rPr>
      </w:pPr>
    </w:p>
    <w:p>
      <w:pPr>
        <w:ind w:right="300" w:firstLine="749"/>
        <w:spacing w:after="0" w:line="255" w:lineRule="auto"/>
        <w:rPr>
          <w:sz w:val="20"/>
          <w:szCs w:val="20"/>
          <w:color w:val="auto"/>
        </w:rPr>
      </w:pPr>
      <w:r>
        <w:rPr>
          <w:rFonts w:ascii="Times New Roman" w:cs="Times New Roman" w:eastAsia="Times New Roman" w:hAnsi="Times New Roman"/>
          <w:sz w:val="18"/>
          <w:szCs w:val="18"/>
          <w:color w:val="auto"/>
        </w:rPr>
        <w:t>The FDA seeks to meet these timelines for review of an application but its ability to do so may be affected by a variety of factors. While the costs associated with review of an application are typically covered by the PDUFA user fee program, other activities, including government budget and funding levels, the ability to hire and retain key personnel and statutory, regulatory and policy changes, may impact the FDA’s review and approval of marketing applications. Average review times at the agency have fluctuated in recent years, as a result. For example, during the past decade, the U.S. government has shut down several times and certain regulatory agencies, including the FDA, have had to furlough critical employees and stop critical activities. Further, there is substantial uncertainty as to how measures currently being implemented by the new Trump Administration across the government will impact the FDA and other federal agencies with jurisdiction over biologics.</w:t>
      </w:r>
    </w:p>
    <w:p>
      <w:pPr>
        <w:spacing w:after="0" w:line="189" w:lineRule="exact"/>
        <w:rPr>
          <w:sz w:val="20"/>
          <w:szCs w:val="20"/>
          <w:color w:val="auto"/>
        </w:rPr>
      </w:pPr>
    </w:p>
    <w:p>
      <w:pPr>
        <w:ind w:right="60" w:firstLine="749"/>
        <w:spacing w:after="0" w:line="272" w:lineRule="auto"/>
        <w:rPr>
          <w:sz w:val="20"/>
          <w:szCs w:val="20"/>
          <w:color w:val="auto"/>
        </w:rPr>
      </w:pPr>
      <w:r>
        <w:rPr>
          <w:rFonts w:ascii="Times New Roman" w:cs="Times New Roman" w:eastAsia="Times New Roman" w:hAnsi="Times New Roman"/>
          <w:sz w:val="17"/>
          <w:szCs w:val="17"/>
          <w:color w:val="auto"/>
        </w:rPr>
        <w:t>In connection with its review of an application, the FDA will typically submit information requests to the applicant and set deadlines for responses thereto. The FDA will also inspect the facility or facilities where the product is or will be manufactured. These pre-approval inspections may cover all facilities associated with a submission, including component manufacturing, finished product manufacturing and control testing laboratories. The FDA will not approve an application unless it determines that the manufacturing processes and facilities are in compliance with current GMP requirements and adequate to assure consistent production of the product within required specifications. Additionally, before approving an application, the FDA will typically inspect one or more clinical sites to assure compliance with GCP and the integrity of the data submitted in support of the application. With passage of FDORA, Congress clarified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172"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Moreover, the FDA will review a sponsor’s financial relationship with the principal investigators who conducted the clinical trials in support of the BLA. That is because, under certain circumstances, principal investigators at a clinical trial site may also serve as scientific advisors or consultants to a sponsor and receive compensation in connection with such services. Depending on the level of that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trial or the integrity of the data generated at the principal investigator’s clinical trial site. If so, the FDA may exclude data from the clinical trial site in connection with its determination of safety and efficacy of the investigational product.</w:t>
      </w:r>
    </w:p>
    <w:p>
      <w:pPr>
        <w:spacing w:after="0" w:line="18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FDA may also refer the application to an advisory committee for review, evaluation, and recommendation as to whether the application should be approved. In particular, the FDA may refer applications for novel biologic products or biologic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Decisions on BLAs</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After evaluating the application and all related information, including the advisory committee recommendations, if any, and inspection reports of manufacturing facilities and clinical trial sites, the FDA will issue either a Complete Response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t>Letter, or CRL, or an approval letter. To reach this determination, the FDA must determine whether there is substantial evidence that the product is effective and that expected benefits of the proposed product outweigh its potential risks to patients. This assessment is informed by the severity of the underlying condition and how well patients’ medical needs are addressed by currently available therapies; uncertainty about how the premarket clinical trial evidence will extrapolate to real-world use of the product in the post-market setting; and whether risk management tools are necessary to manage specific risks.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If the application is not approved, the FDA will issue a CRL, which will contain the conditions that must be met in order to secure final approval of the application, and, when possible, will outline recommended actions the sponsor might take to obtain approval of the application. Sponsors that receive a CRL may submit to the FDA information that represents a complete response to the issues identified by the FDA. Such resubmissions are classified under PDUFA as either Class 1 or Class 2. The classification of a resubmission is based on the information submitted by a sponsor in response to an action letter. Under the goals and policies agreed to by the FDA under PDUFA, the FDA has two months to review a Class 1 resubmission and six months to review a Class 2 resubmission. The FDA will not approve an application until issues identified in the complete response letter have been addressed.</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For those seeking to challenge FDA’s CRL decision, the agency has indicated that sponsors may request a formal hearing on the CRL or they may file a request for reconsideration or a request for a formal dispute resolution. While CRLs were previously treated by the FDA as confidential and were only disclosed in action packages for approved products, the agency announced in September 2025 that it will now release CRLs promptly after they are issued to sponsors. Since that announcement, the FDA has posted a number of CRLs on its website.</w:t>
      </w:r>
    </w:p>
    <w:p>
      <w:pPr>
        <w:spacing w:after="0" w:line="180" w:lineRule="exact"/>
        <w:rPr>
          <w:sz w:val="20"/>
          <w:szCs w:val="20"/>
          <w:color w:val="auto"/>
        </w:rPr>
      </w:pPr>
    </w:p>
    <w:p>
      <w:pPr>
        <w:ind w:right="700" w:firstLine="749"/>
        <w:spacing w:after="0" w:line="282" w:lineRule="auto"/>
        <w:rPr>
          <w:sz w:val="20"/>
          <w:szCs w:val="20"/>
          <w:color w:val="auto"/>
        </w:rPr>
      </w:pPr>
      <w:r>
        <w:rPr>
          <w:rFonts w:ascii="Times New Roman" w:cs="Times New Roman" w:eastAsia="Times New Roman" w:hAnsi="Times New Roman"/>
          <w:sz w:val="18"/>
          <w:szCs w:val="18"/>
          <w:color w:val="auto"/>
        </w:rPr>
        <w:t>An approval letter, on the other hand, authorizes commercial marketing of the product with specific prescribing information for specific indications.</w:t>
      </w:r>
    </w:p>
    <w:p>
      <w:pPr>
        <w:spacing w:after="0" w:line="162" w:lineRule="exact"/>
        <w:rPr>
          <w:sz w:val="20"/>
          <w:szCs w:val="20"/>
          <w:color w:val="auto"/>
        </w:rPr>
      </w:pPr>
    </w:p>
    <w:p>
      <w:pPr>
        <w:ind w:right="100" w:firstLine="749"/>
        <w:spacing w:after="0" w:line="219" w:lineRule="exact"/>
        <w:rPr>
          <w:sz w:val="20"/>
          <w:szCs w:val="20"/>
          <w:color w:val="auto"/>
        </w:rPr>
      </w:pPr>
      <w:r>
        <w:rPr>
          <w:rFonts w:ascii="Times New Roman" w:cs="Times New Roman" w:eastAsia="Times New Roman" w:hAnsi="Times New Roman"/>
          <w:sz w:val="18"/>
          <w:szCs w:val="18"/>
          <w:color w:val="auto"/>
        </w:rPr>
        <w:t>The FDA may limit the approved indications for use of the product. It may also require that contraindications, warnings or precautions be included in the product labeling. In addition, the FDA may call for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studies, including post-approval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w:t>
      </w:r>
    </w:p>
    <w:p>
      <w:pPr>
        <w:spacing w:after="0" w:line="160" w:lineRule="exact"/>
        <w:rPr>
          <w:sz w:val="20"/>
          <w:szCs w:val="20"/>
          <w:color w:val="auto"/>
        </w:rPr>
      </w:pPr>
    </w:p>
    <w:p>
      <w:pPr>
        <w:jc w:val="both"/>
        <w:ind w:right="500" w:firstLine="749"/>
        <w:spacing w:after="0" w:line="236" w:lineRule="exact"/>
        <w:rPr>
          <w:sz w:val="20"/>
          <w:szCs w:val="20"/>
          <w:color w:val="auto"/>
        </w:rPr>
      </w:pPr>
      <w:r>
        <w:rPr>
          <w:rFonts w:ascii="Times New Roman" w:cs="Times New Roman" w:eastAsia="Times New Roman" w:hAnsi="Times New Roman"/>
          <w:sz w:val="18"/>
          <w:szCs w:val="18"/>
          <w:color w:val="auto"/>
        </w:rPr>
        <w:t>The FDA may prevent or limit further marketing of a product based on the results of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Review Programs</w:t>
      </w:r>
    </w:p>
    <w:p>
      <w:pPr>
        <w:spacing w:after="0" w:line="229" w:lineRule="exact"/>
        <w:rPr>
          <w:sz w:val="20"/>
          <w:szCs w:val="20"/>
          <w:color w:val="auto"/>
        </w:rPr>
      </w:pPr>
    </w:p>
    <w:p>
      <w:pPr>
        <w:jc w:val="both"/>
        <w:ind w:right="500" w:firstLine="749"/>
        <w:spacing w:after="0" w:line="282" w:lineRule="auto"/>
        <w:rPr>
          <w:sz w:val="20"/>
          <w:szCs w:val="20"/>
          <w:color w:val="auto"/>
        </w:rPr>
      </w:pPr>
      <w:r>
        <w:rPr>
          <w:rFonts w:ascii="Times New Roman" w:cs="Times New Roman" w:eastAsia="Times New Roman" w:hAnsi="Times New Roman"/>
          <w:sz w:val="18"/>
          <w:szCs w:val="18"/>
          <w:color w:val="auto"/>
        </w:rPr>
        <w:t>The FDA is authorized to expedite the review of applications in several ways. None of these expedited programs changes the standards for approval but each may help expedite the development or approval process governing product candidates.</w:t>
      </w:r>
    </w:p>
    <w:p>
      <w:pPr>
        <w:spacing w:after="0" w:line="52" w:lineRule="exact"/>
        <w:rPr>
          <w:sz w:val="20"/>
          <w:szCs w:val="20"/>
          <w:color w:val="auto"/>
        </w:rPr>
      </w:pPr>
    </w:p>
    <w:p>
      <w:pPr>
        <w:ind w:left="1020" w:right="20" w:hanging="503"/>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Breakthrough therapy designation. </w:t>
      </w:r>
      <w:r>
        <w:rPr>
          <w:rFonts w:ascii="Times New Roman" w:cs="Times New Roman" w:eastAsia="Times New Roman" w:hAnsi="Times New Roman"/>
          <w:sz w:val="18"/>
          <w:szCs w:val="18"/>
          <w:color w:val="auto"/>
        </w:rPr>
        <w:t>To qualify for the breakthrough therapy program, product candidates must be intended to treat a serious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development program, intensive involvement of senior managers and experienced staff on a proactive, collaborative and cross-disciplinary review and rolling review.</w:t>
      </w:r>
    </w:p>
    <w:p>
      <w:pPr>
        <w:spacing w:after="0" w:line="75" w:lineRule="exact"/>
        <w:rPr>
          <w:rFonts w:ascii="Times New Roman" w:cs="Times New Roman" w:eastAsia="Times New Roman" w:hAnsi="Times New Roman"/>
          <w:sz w:val="18"/>
          <w:szCs w:val="18"/>
          <w:color w:val="auto"/>
        </w:rPr>
      </w:pPr>
    </w:p>
    <w:p>
      <w:pPr>
        <w:ind w:left="1020" w:right="60" w:hanging="503"/>
        <w:spacing w:after="0" w:line="25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Priority review. </w:t>
      </w:r>
      <w:r>
        <w:rPr>
          <w:rFonts w:ascii="Times New Roman" w:cs="Times New Roman" w:eastAsia="Times New Roman" w:hAnsi="Times New Roman"/>
          <w:sz w:val="18"/>
          <w:szCs w:val="18"/>
          <w:color w:val="auto"/>
        </w:rPr>
        <w:t>A product candidate is eligible for priority review if it treats a serious condition and, if approved, it would be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 in the safety or effectiveness of the treatment, diagnosis or prevention compared to marketed products.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The FDA aims to complete its review of priority review applications within six months as opposed to 10 months for standard review.</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20" w:name="page21"/>
    <w:bookmarkEnd w:id="20"/>
    <w:p>
      <w:pPr>
        <w:ind w:left="1020" w:right="8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Fast Track Designation. </w:t>
      </w:r>
      <w:r>
        <w:rPr>
          <w:rFonts w:ascii="Times New Roman" w:cs="Times New Roman" w:eastAsia="Times New Roman" w:hAnsi="Times New Roman"/>
          <w:sz w:val="18"/>
          <w:szCs w:val="18"/>
          <w:color w:val="auto"/>
        </w:rPr>
        <w:t>Product candidates are eligible for Fast Track designation if they are intended to treat a serious or life-threatening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this designation enables a company to petition the FDA to initiate review of sections of a BLA before the application is complete, a process known as rolling review.</w:t>
      </w:r>
    </w:p>
    <w:p>
      <w:pPr>
        <w:spacing w:after="0" w:line="183" w:lineRule="exact"/>
        <w:rPr>
          <w:rFonts w:ascii="Times New Roman" w:cs="Times New Roman" w:eastAsia="Times New Roman" w:hAnsi="Times New Roman"/>
          <w:sz w:val="18"/>
          <w:szCs w:val="18"/>
          <w:color w:val="auto"/>
        </w:rPr>
      </w:pPr>
    </w:p>
    <w:p>
      <w:pPr>
        <w:ind w:left="1020" w:right="60" w:hanging="503"/>
        <w:spacing w:after="0" w:line="25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Accelerated Regenerative Medicine Advanced Therapy designation. </w:t>
      </w:r>
      <w:r>
        <w:rPr>
          <w:rFonts w:ascii="Times New Roman" w:cs="Times New Roman" w:eastAsia="Times New Roman" w:hAnsi="Times New Roman"/>
          <w:sz w:val="18"/>
          <w:szCs w:val="18"/>
          <w:color w:val="auto"/>
        </w:rPr>
        <w:t>With the passage of the 21st Century Cures Act, or the Cures Act,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2016, Congress authorized the FDA to accelerate review and approval of product candidates designated as regenerative advanced therapies. A product candidate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82" w:lineRule="exact"/>
        <w:rPr>
          <w:rFonts w:ascii="Times New Roman" w:cs="Times New Roman" w:eastAsia="Times New Roman" w:hAnsi="Times New Roman"/>
          <w:sz w:val="18"/>
          <w:szCs w:val="18"/>
          <w:color w:val="auto"/>
        </w:rPr>
      </w:pPr>
    </w:p>
    <w:p>
      <w:pPr>
        <w:ind w:left="1020" w:right="140" w:hanging="503"/>
        <w:spacing w:after="0" w:line="257"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Commissioner’s National Priority Voucher Program</w:t>
      </w:r>
      <w:r>
        <w:rPr>
          <w:rFonts w:ascii="Times New Roman" w:cs="Times New Roman" w:eastAsia="Times New Roman" w:hAnsi="Times New Roman"/>
          <w:sz w:val="18"/>
          <w:szCs w:val="18"/>
          <w:color w:val="auto"/>
        </w:rPr>
        <w:t>. On June 17, 2025, the FDA announced the creation of the “Commissioner’s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Priority Voucher,” or CNPV, Program. Vouchers issued under this program can be redeemed by sponsors to shorten the review time of a BLA from approximately ten to twelve months to one to two months. The FDA has indicated that the CNPV Program will convene experts from the FDA’s offices for a team-based review rather than using the standard review system. Clinical data will be reviewed by a multidisciplinary team of physicians and scientists who will pre-review the submitted information and convene for a one-day meeting. Vouchers under the CNPV Program will reportedly be given to companies aligned with U.S. national priorities.</w:t>
      </w:r>
    </w:p>
    <w:p>
      <w:pPr>
        <w:spacing w:after="0" w:line="182"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Rare Disease Evidence Principles</w:t>
      </w:r>
      <w:r>
        <w:rPr>
          <w:rFonts w:ascii="Times New Roman" w:cs="Times New Roman" w:eastAsia="Times New Roman" w:hAnsi="Times New Roman"/>
          <w:sz w:val="18"/>
          <w:szCs w:val="18"/>
          <w:color w:val="auto"/>
        </w:rPr>
        <w:t>. In September 2025, the FDA introduced a framework intended to streamline the approval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therapies for ultrarare diseases. The Rare Disease Evidence Principles, or RDEP, is intended to allow sponsors to rely on a single-arm trial in support of approval of biologics that treat rare diseases with very small patient populations and where the disease is linked to a known genetic defect and characterized by progressive functional deterioration leading to disability or death in a short period of time. The targeted diseases should also lack adequate alternative therapies.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Accelerated Approval</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Biologic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biologic product candidate receiving accelerated approval perform adequate and well controlled post-marketing clinical trials. In addition, the FDA currently requires as a condition for accelerated approval pre-approval of promotional materials.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With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trial of the product with due diligence, including with respect to “conditions specified by the Secretary.” The new procedures include the provision of due notice and an explanation for a proposed withdrawal, and opportunities for a meeting with the Commissioner or the Commissioner’s designee and a written appeal, among other things.</w:t>
      </w:r>
    </w:p>
    <w:p>
      <w:pPr>
        <w:spacing w:after="0" w:line="18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 March 2023, the FDA issued draft guidance that outlines its current thinking and approach to accelerated approval. The agency indicated that the accelerated approval pathway is commonly used for approval of oncology drugs due to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80" w:right="379" w:bottom="1440" w:gutter="0" w:footer="0" w:header="0"/>
        </w:sectPr>
      </w:pPr>
    </w:p>
    <w:bookmarkStart w:id="21" w:name="page22"/>
    <w:bookmarkEnd w:id="21"/>
    <w:p>
      <w:pPr>
        <w:ind w:right="40"/>
        <w:spacing w:after="0" w:line="255" w:lineRule="auto"/>
        <w:rPr>
          <w:sz w:val="20"/>
          <w:szCs w:val="20"/>
          <w:color w:val="auto"/>
        </w:rPr>
      </w:pPr>
      <w:r>
        <w:rPr>
          <w:rFonts w:ascii="Times New Roman" w:cs="Times New Roman" w:eastAsia="Times New Roman" w:hAnsi="Times New Roman"/>
          <w:sz w:val="18"/>
          <w:szCs w:val="18"/>
          <w:color w:val="auto"/>
        </w:rPr>
        <w:t>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FDA’s views on what it means to conduct a confirmatory trial with due diligence and how the agency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Optimus</w:t>
      </w:r>
    </w:p>
    <w:p>
      <w:pPr>
        <w:spacing w:after="0" w:line="22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Project Optimus is an initiative of the Oncology Center of Excellence, or OCE, at the FDA. This project focuses on dose optimization and dose selection in oncology drug development, and whether the current paradigm based on cytotoxic chemotherapeutics leads to doses and schedules of molecularly targeted therapies that provide more toxicity without additional efficacy, among other things. In Project Optimus, drug developers have the opportunity to meet with the FDA’s Oncology Review Divisions early in their development programs, well before conducting trials intended for registration, to discuss dose-finding and dose optimization. The program thus allows sponsors to develop strategies for dose finding and dose optimization that leverages nonclinical and clinical data in dose selection, including randomized evaluations of a range of doses in trials, with the objective of performing these studies as early as possible in the development program to bring promising new therapies to patients. In August 2024, the FDA issued final guidance concerning optimizing the dosage of biologics and drugs for the treatment of oncologic diseases.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Real-Time Oncology Review</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Through its OCE, the FDA has established two pilot programs allowing for real-time review of supplemental applications for previously approved oncology products. This approach will allow FDA to evaluate clinical data as soon as the results of a clinical trial become available with the objective of reviewing and approving a new indication soon after a sponsor files the application. The first of these pilot programs, Real-Time Oncology Review, or RTOR, focuses on early submission of data that are the most relevant to assessing the product’s safety, potency and purity. RTOR allows the FDA to review much of the data earlier, after the clinical trial results become available and the database is locked, but before the information is formally submitted to the agency.</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FDA has established several criteria to determine whether a supplemental application may be selected for RTOR. Those criteria include whether: the investigational product is likely to demonstrate substantial improvements over available therapy; the study design is straight forward, as determined by the review division and the OCE; the endpoints can be easily interpreted. Applications with chemistry, manufacturing and control formulation changes and supplements with pharmacology/toxicology data are excluded from RTOR. In addition, submissions with greater complexity, including those with companion diagnostics, may also be excluded for the purposes of the pilot program. On the basis of these criteria, the appropriate FDA review division and OCE management will jointly decide whether the application can be selected for the RTOR pilot program.</w:t>
      </w:r>
    </w:p>
    <w:p>
      <w:pPr>
        <w:spacing w:after="0" w:line="187"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If the FDA determines that RTOR is an appropriate review pathway, the sponsor can send pre-submission data to the agency under the original application two to four weeks after all patient data have been entered and locked in the database, and the sponsor is ready to request FDA approval. The package should also include key raw and derived datasets, including safety/efficacy tables and figures, study protocol and amendments, and a draft of the package insert. The sponsor must also submit key results, analysis, and datasets for other disciplines, if applicable. The FDA will then evaluate these materials for sufficiency and integrity so that it can analyze the data to properly address key regulatory questions. By the time the sponsor submits the application to the FDA, the review team will have completed the analysis and be familiar with the data, and can conduct a more efficient, timely, and thorough review.</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Post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Approval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-43815</wp:posOffset>
            </wp:positionV>
            <wp:extent cx="64135"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6" w:lineRule="exact"/>
        <w:rPr>
          <w:sz w:val="20"/>
          <w:szCs w:val="20"/>
          <w:color w:val="auto"/>
        </w:rPr>
      </w:pPr>
    </w:p>
    <w:p>
      <w:pPr>
        <w:ind w:right="120" w:firstLine="509"/>
        <w:spacing w:after="0" w:line="220" w:lineRule="exact"/>
        <w:rPr>
          <w:sz w:val="20"/>
          <w:szCs w:val="20"/>
          <w:color w:val="auto"/>
        </w:rPr>
      </w:pPr>
      <w:r>
        <w:rPr>
          <w:rFonts w:ascii="Times New Roman" w:cs="Times New Roman" w:eastAsia="Times New Roman" w:hAnsi="Times New Roman"/>
          <w:sz w:val="18"/>
          <w:szCs w:val="18"/>
          <w:color w:val="auto"/>
        </w:rPr>
        <w:t>If regulatory approval for marketing of a product or new indication for an existing product is obtained, the sponsor will be required to comply with all regular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regulatory requirements as well as any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requirements that the FDA have imposed as part of the approval process. The sponsor will be required to report certain adverse reactions and production problems to the FDA, provide updated safety and efficacy information and comply with requirements concerning</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22" w:name="page23"/>
    <w:bookmarkEnd w:id="22"/>
    <w:p>
      <w:pPr>
        <w:ind w:right="60"/>
        <w:spacing w:after="0" w:line="220" w:lineRule="exact"/>
        <w:rPr>
          <w:sz w:val="20"/>
          <w:szCs w:val="20"/>
          <w:color w:val="auto"/>
        </w:rPr>
      </w:pPr>
      <w:r>
        <w:rPr>
          <w:rFonts w:ascii="Times New Roman" w:cs="Times New Roman" w:eastAsia="Times New Roman" w:hAnsi="Times New Roman"/>
          <w:sz w:val="18"/>
          <w:szCs w:val="18"/>
          <w:color w:val="auto"/>
        </w:rPr>
        <w:t>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GMP regulations, which impose certain procedural and documentation requirements upon manufacturers. Accordingly, the sponsor and its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must continue to expend time, money, and effort in the areas of production and quality control to maintain compliance with GMP regulations and other regulatory requirements.</w:t>
      </w:r>
    </w:p>
    <w:p>
      <w:pPr>
        <w:spacing w:after="0" w:line="20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83" w:lineRule="exact"/>
        <w:rPr>
          <w:sz w:val="20"/>
          <w:szCs w:val="20"/>
          <w:color w:val="auto"/>
        </w:rPr>
      </w:pPr>
    </w:p>
    <w:p>
      <w:pPr>
        <w:ind w:firstLine="749"/>
        <w:spacing w:after="0" w:line="220" w:lineRule="exact"/>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studies or clinical trials to assess new safety risks; or imposition of distribution or other restrictions under a REMS program. Other potential consequences include, among other things:</w:t>
      </w:r>
    </w:p>
    <w:p>
      <w:pPr>
        <w:spacing w:after="0" w:line="201" w:lineRule="exact"/>
        <w:rPr>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84" w:lineRule="exact"/>
        <w:rPr>
          <w:rFonts w:ascii="Times New Roman" w:cs="Times New Roman" w:eastAsia="Times New Roman" w:hAnsi="Times New Roman"/>
          <w:sz w:val="18"/>
          <w:szCs w:val="18"/>
          <w:color w:val="auto"/>
        </w:rPr>
      </w:pPr>
    </w:p>
    <w:p>
      <w:pPr>
        <w:ind w:left="1140" w:hanging="383"/>
        <w:spacing w:after="0" w:line="207" w:lineRule="exact"/>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clinical trials;</w:t>
      </w:r>
    </w:p>
    <w:p>
      <w:pPr>
        <w:spacing w:after="0" w:line="26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140" w:firstLine="749"/>
        <w:spacing w:after="0" w:line="219" w:lineRule="exact"/>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Pharmaceutical products may be promoted only for the approved indications and in accordance with the provisions of the approved label. Promotional claims about a drug's safety or effectiveness are prohibited before the drug is approved. Although health care providers may prescribe products for off-label uses in their professional judgment, drug manufacturers are prohibited from soliciting, encouraging or promoting unapproved uses of a product. The FDA and other agencies actively enforce the laws and regulations prohibiting the promotion of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a company that is found to have improperly promoted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may be subject to significant liability. In September 2021, the FDA published final regulations which describe the types of evidence that the agency will consider in determining the intended use of a biologic.</w:t>
      </w: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0" w:right="379" w:bottom="1440" w:gutter="0" w:footer="0" w:header="0"/>
        </w:sectPr>
      </w:pPr>
    </w:p>
    <w:bookmarkStart w:id="23" w:name="page24"/>
    <w:bookmarkEnd w:id="23"/>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adverse public relations and administrative and judicial enforcement by the FDA, the U.S. Department of Justice, or the Office of the Inspector General of the U.S. Department of Health and Human Services, or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8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a variety of federal and state laws. The Prescription Drug Marketing Act, or PDMA, was the first federal law to set minimum standards for the registration and regulation of drug distributors by the states and to regulate the distribution of drug samples. Both the PDMA and state laws limit the distribution of prescription pharmaceutical product samples and impose requirements to ensure accountability in distribution. In November 2013, the federal Drug Supply Chain Security Act became effective in the United States, mandating an industry-wide, electronic, interoperable system to trace prescription drugs through the pharmaceutical distribution supply chain with a ten-year phase-in process. Manufacturers were required by November 2023 to have such systems and processes in place. So as not to disrupt supply chains, the FDA has granted certain exemptions from enhanced drug distribution security requirements for eligible trading partners for particular periods of time.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Orphan drug designation in the United States is designed to encourage sponsors to develop products intended for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A product becomes an orphan when it receives orphan drug designation from the Office of Orphan Products Development at the FDA based on acceptable confidential requests made under the regulatory provisions. The product must then go through the review and approval process like any other product.</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83"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If a product with orphan designation receives the first FDA approval for the disease or condition for which it has such designation or for a select indication or use within the rare disease or condition for which it was designated, the product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24" w:name="page25"/>
    <w:bookmarkEnd w:id="24"/>
    <w:p>
      <w:pPr>
        <w:ind w:right="100"/>
        <w:spacing w:after="0" w:line="266" w:lineRule="auto"/>
        <w:rPr>
          <w:sz w:val="20"/>
          <w:szCs w:val="20"/>
          <w:color w:val="auto"/>
        </w:rPr>
      </w:pPr>
      <w:r>
        <w:rPr>
          <w:rFonts w:ascii="Times New Roman" w:cs="Times New Roman" w:eastAsia="Times New Roman" w:hAnsi="Times New Roman"/>
          <w:sz w:val="18"/>
          <w:szCs w:val="18"/>
          <w:color w:val="auto"/>
        </w:rPr>
        <w:t>generally will receive orphan drug exclusivity. Orphan drug exclusivity means that the FDA may not approve another sponsor’s marketing application for the same product for the same indication for seven years, except in certain limited circumstances. If a product designated as an orphan drug ultimately receives marketing approval for an indication broader than what was designated in its orphan drug application, it may not be entitled to exclusivity.</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period of exclusivity begins on the date that the marketing application is approved by the FDA. Orphan drug exclusivity will not bar approval of another product under certain circumstances, including if the company with orphan drug exclusivity is not able to meet market demand or the subsequent product is shown to be clinically superior to the approved product on the basis of greater efficacy or safety, or providing a major contribution to patient care. Under Omnibus legislation signed by the then President of the United States on December 27, 2020, the requirement for a product to show clinical superiority applies to drug products that received orphan drug designation before enactment of amendments to the FDCA in 2017 but have not yet been approved by FDA.</w:t>
      </w:r>
    </w:p>
    <w:p>
      <w:pPr>
        <w:spacing w:after="0" w:line="18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FDA and Congress may further reevaluate and revise the Orphan Drug Act and its regulations and policies. For example, in September 2021, the U.S. Court of Appeals for the 11th Circuit held that, for the purpose of determining the scope of orphan drug exclusivity, the term “same disease or condition” means the designated “rare disease or condition” and not the “indication or use” for which the product is approved. Subsequently, in another case, a federal district court in Washington, D.C. followed the reasoning of the 11th Circuit decision, and that decision was appealed to the U.S. Court of Appeals for the D.C. Circuit. On February 3, 2026, the Consolidated Appropriations Act of 2026 was enacted into law. It overruled these court decisions and codified the FDA’s longstanding interpretation of the scope of orphan drug exclusivity to apply to “the same drug for the same approved use or indication within such [designated] rare disease or condition.” This change, which applies retroactively, expressly authorizes the FDA to approve multiple versions of the same orphan drug for different sub-indications and subpopulations, such as adult and pediatric patients or multiple variations of the same disease that are caused by different genetic variants.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w:t>
      </w:r>
    </w:p>
    <w:p>
      <w:pPr>
        <w:spacing w:after="0" w:line="188" w:lineRule="exact"/>
        <w:rPr>
          <w:sz w:val="20"/>
          <w:szCs w:val="20"/>
          <w:color w:val="auto"/>
        </w:rPr>
      </w:pPr>
    </w:p>
    <w:p>
      <w:pPr>
        <w:ind w:firstLine="749"/>
        <w:spacing w:after="0" w:line="225" w:lineRule="exact"/>
        <w:rPr>
          <w:sz w:val="20"/>
          <w:szCs w:val="20"/>
          <w:color w:val="auto"/>
        </w:rPr>
      </w:pPr>
      <w:r>
        <w:rPr>
          <w:rFonts w:ascii="Times New Roman" w:cs="Times New Roman" w:eastAsia="Times New Roman" w:hAnsi="Times New Roman"/>
          <w:sz w:val="18"/>
          <w:szCs w:val="18"/>
          <w:color w:val="auto"/>
        </w:rPr>
        <w:t>Pediatric exclusivity is another type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patent marketing exclusivity in the United States and, if granted, provides for the attachment of an additional six months of regulatory exclusivity to the term of any existing regulatory exclusivity, including orphan exclusivity, for biologic products. This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Regulatory Exclusivity</w:t>
      </w:r>
    </w:p>
    <w:p>
      <w:pPr>
        <w:spacing w:after="0" w:line="22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2010 Patient Protection and Affordable Care Act, which was signed into law in March 2010, included a subtitle called the Biologics Price Competition and Innovation Act of 2009, or the BPCIA. The BPCIA established a regulatory scheme authorizing the FDA to approve biosimilars and interchangeable biosimilars. A biosimilar is a biological product that is highly similar to an existing FDA-licensed “reference product.” To date, the FDA has licensed a number of biosimilar products and interchangeable biosimilar products.</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In December 2022, Congress clarified through FDORA that FDA may approve multiple first interchangeable biosimilar biological products so long as the products are all approved on the first day on which such a product is approved as interchangeable with the reference product.</w:t>
      </w:r>
    </w:p>
    <w:p>
      <w:pPr>
        <w:spacing w:after="0" w:line="19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An application for a biosimilar product may not be submitted to the FDA until four years following the date of approval of the reference product. The FDA may not approve a biosimilar product until 12 years from the date on which the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0" w:right="379" w:bottom="1440" w:gutter="0" w:footer="0" w:header="0"/>
        </w:sectPr>
      </w:pPr>
    </w:p>
    <w:bookmarkStart w:id="25" w:name="page26"/>
    <w:bookmarkEnd w:id="25"/>
    <w:p>
      <w:pPr>
        <w:ind w:right="160"/>
        <w:spacing w:after="0" w:line="220" w:lineRule="exact"/>
        <w:rPr>
          <w:sz w:val="20"/>
          <w:szCs w:val="20"/>
          <w:color w:val="auto"/>
        </w:rPr>
      </w:pPr>
      <w:r>
        <w:rPr>
          <w:rFonts w:ascii="Times New Roman" w:cs="Times New Roman" w:eastAsia="Times New Roman" w:hAnsi="Times New Roman"/>
          <w:sz w:val="18"/>
          <w:szCs w:val="18"/>
          <w:color w:val="auto"/>
        </w:rPr>
        <w:t>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clinical trials to demonstrate the safety, purity, and potency of their product. The BPCIA also created certain exclusivity periods for biosimilars approved as interchangeable products.</w:t>
      </w:r>
    </w:p>
    <w:p>
      <w:pPr>
        <w:spacing w:after="0" w:line="20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231F20"/>
        </w:rPr>
        <w:t xml:space="preserve">There </w:t>
      </w:r>
      <w:r>
        <w:rPr>
          <w:rFonts w:ascii="Times New Roman" w:cs="Times New Roman" w:eastAsia="Times New Roman" w:hAnsi="Times New Roman"/>
          <w:sz w:val="18"/>
          <w:szCs w:val="18"/>
          <w:color w:val="000000"/>
        </w:rPr>
        <w:t>have been recent government proposals to reduce the 12-year reference product exclusivity period, but none has been enacted to date. At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same time, since passage of the BPCIA, many states have passed laws or amendments to laws, which address pharmacy practices involving biosimilar products. Further, the FDA may revise the standards governing approval of biosimilars so as to bring such products to the market more quickly. For example, in October 2025, the FDA issued draft guidance which proposes to eliminate the need for sponsors of biosimilar products to conduct comparative human clinical efficacy studies, allowing them to rely instead on analytical testing to demonstrate product differences from a reference product.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Extension</w:t>
      </w:r>
    </w:p>
    <w:p>
      <w:pPr>
        <w:spacing w:after="0" w:line="229" w:lineRule="exact"/>
        <w:rPr>
          <w:sz w:val="20"/>
          <w:szCs w:val="20"/>
          <w:color w:val="auto"/>
        </w:rPr>
      </w:pPr>
    </w:p>
    <w:p>
      <w:pPr>
        <w:ind w:right="20" w:firstLine="749"/>
        <w:spacing w:after="0" w:line="218" w:lineRule="exact"/>
        <w:rPr>
          <w:sz w:val="20"/>
          <w:szCs w:val="20"/>
          <w:color w:val="auto"/>
        </w:rPr>
      </w:pPr>
      <w:r>
        <w:rPr>
          <w:rFonts w:ascii="Times New Roman" w:cs="Times New Roman" w:eastAsia="Times New Roman" w:hAnsi="Times New Roman"/>
          <w:sz w:val="18"/>
          <w:szCs w:val="18"/>
          <w:color w:val="auto"/>
        </w:rPr>
        <w:t>A patent claiming a new biologic product, its method of use or its method of manufacture may be eligible for a limited patent term extension under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which permits a patent restoration of up to five years for patent term lost during product development and FDA regulatory review. The restoration period granted on a patent covering a product is typically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half the time between the effective date of the IND clearing the clinical investigation involving human beings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 Patent and Trademark Office reviews and approves the application for any patent term extension or restoration in consultation with the FDA.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of Companion Diagnostics</w:t>
      </w:r>
    </w:p>
    <w:p>
      <w:pPr>
        <w:spacing w:after="0" w:line="227"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color w:val="auto"/>
        </w:rPr>
        <w:t xml:space="preserve">In August 2014, the FDA issued final guidance clarifying the requirements that will apply to approval of therapeutic products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 Approval or clearance of the companion diagnostic device will ensure that the device has been adequately evaluated and has adequate performance characteristics in the intended population. In July 2016, the FDA issued a draft guidance intended to assist sponsors of the drug therapeutic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 device on issues related to co-development of the products.</w:t>
      </w:r>
    </w:p>
    <w:p>
      <w:pPr>
        <w:spacing w:after="0" w:line="184"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The 2014 guidance also explains that a companion diagnostic device used to make treatment decisions in clinical trials of a biologic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product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18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April 2020, the FDA issued additional guidance which describes considerations for the development and labeling of companion diagnostic devices to support the indicated uses of multiple biological oncology products, when appropriate. The 2020 guidance expands on the policy statement in the 2014 guidance by recommending that companion diagnostic developers consider a number of factors when determining whether their test could be developed, or the labeling for approved companion diagnostics could be revised through a supplement, to support a broader labeling claim such as use with a specific group of oncology therapeutic products (rather than listing an individual therapeutic product(s)).</w:t>
      </w:r>
    </w:p>
    <w:p>
      <w:pPr>
        <w:spacing w:after="0" w:line="18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Under the FDCA,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26" w:name="page27"/>
    <w:bookmarkEnd w:id="26"/>
    <w:p>
      <w:pPr>
        <w:ind w:right="340"/>
        <w:spacing w:after="0" w:line="245" w:lineRule="exact"/>
        <w:rPr>
          <w:sz w:val="20"/>
          <w:szCs w:val="20"/>
          <w:color w:val="auto"/>
        </w:rPr>
      </w:pPr>
      <w:r>
        <w:rPr>
          <w:rFonts w:ascii="Times New Roman" w:cs="Times New Roman" w:eastAsia="Times New Roman" w:hAnsi="Times New Roman"/>
          <w:sz w:val="18"/>
          <w:szCs w:val="18"/>
          <w:color w:val="auto"/>
        </w:rPr>
        <w:t>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surveillance. Unless an exemption applies, diagnostic tests require marketing clearance or approval from the FDA prior to commercial distribution.</w:t>
      </w:r>
    </w:p>
    <w:p>
      <w:pPr>
        <w:spacing w:after="0" w:line="197"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FDA previously has required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companion diagnostics intended to select the patients who will respond to the product candidate to obtain pre-market approval, or PMA, simultaneously with approval of the therapeutic product candidate. The PMA process, including the gathering of clinical and preclinical data and the submission to and review by the FDA, can take several years or longer. It involves a rigorous premarket review during which the sponsor must prepare and provide the FDA with reasonable assurance of the device’s safety and effectiveness and information about the device and its components regarding, among other things, device design, manufacturing and labeling. PMA applications are subject to an application fee. For federal fiscal year 2026, the standard fee is $579,272 and the small business fee is $144,818.</w:t>
      </w:r>
    </w:p>
    <w:p>
      <w:pPr>
        <w:spacing w:after="0" w:line="184"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 obtaining approval to begin the study differ accordingly. 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Non-significant risk devices are devices that do not pose a significant risk to the human subjects. A non-significant risk device study requires only IRB approval prior to initiation of a clinical study.</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Data Privacy and Security Laws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Under the federal Health Insurance Portability and Accountability Act of 1996, or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or HITECH, and their regulations, including the omnibus final rule published on January 25, 2013, also imposes certain obligations on the business associates of covered entities that obtain protected health information in providing services to or on behalf of covered entities. In addition to federal privacy regulations, there are a number of state laws governing confidentiality and security of health information that are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(along with private plaintiffs) have brought civil actions seeking injunctions and damages resulting from alleged violations of HIPAA’s privacy and security rules. New laws and regulations governing privacy and security may be adopted in the future as well.</w:t>
      </w:r>
    </w:p>
    <w:p>
      <w:pPr>
        <w:spacing w:after="0" w:line="192"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In addition to potential enforcement by HHS, we are also potentially subject to privacy enforcement from the Federal Trade Commission, or FTC.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 Finally,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27" w:name="page28"/>
    <w:bookmarkEnd w:id="27"/>
    <w:p>
      <w:pPr>
        <w:ind w:right="340"/>
        <w:spacing w:after="0" w:line="282" w:lineRule="auto"/>
        <w:rPr>
          <w:sz w:val="20"/>
          <w:szCs w:val="20"/>
          <w:color w:val="auto"/>
        </w:rPr>
      </w:pPr>
      <w:r>
        <w:rPr>
          <w:rFonts w:ascii="Times New Roman" w:cs="Times New Roman" w:eastAsia="Times New Roman" w:hAnsi="Times New Roman"/>
          <w:sz w:val="18"/>
          <w:szCs w:val="18"/>
          <w:color w:val="auto"/>
        </w:rPr>
        <w:t>both the FTC and HHS’s enforcement priorities (as well as those of other federal regulators) may be impacted by the change in administration and new leadership. These shifts in enforcement priorities may also impact our business.</w:t>
      </w:r>
    </w:p>
    <w:p>
      <w:pPr>
        <w:spacing w:after="0" w:line="162"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There are also increased restrictions at the federal level relating to transferring sensitive data outside of the United States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U.S. Department of Justice recently finalized a rule implementing Executive Order 14117, which creates similar restrictions related to the transfer of sensitive U.S. data to countries such as China. These data transfer restrictions (and others that may pass in the future) may create operational challenges and legal risks for our business.</w:t>
      </w:r>
    </w:p>
    <w:p>
      <w:pPr>
        <w:spacing w:after="0" w:line="187" w:lineRule="exact"/>
        <w:rPr>
          <w:sz w:val="20"/>
          <w:szCs w:val="20"/>
          <w:color w:val="auto"/>
        </w:rPr>
      </w:pPr>
    </w:p>
    <w:p>
      <w:pPr>
        <w:ind w:right="300" w:firstLine="749"/>
        <w:spacing w:after="0" w:line="255" w:lineRule="auto"/>
        <w:rPr>
          <w:sz w:val="20"/>
          <w:szCs w:val="20"/>
          <w:color w:val="auto"/>
        </w:rPr>
      </w:pPr>
      <w:r>
        <w:rPr>
          <w:rFonts w:ascii="Times New Roman" w:cs="Times New Roman" w:eastAsia="Times New Roman" w:hAnsi="Times New Roman"/>
          <w:sz w:val="18"/>
          <w:szCs w:val="18"/>
          <w:color w:val="auto"/>
        </w:rPr>
        <w:t>Additionally, in 2018, California enacted legislation that has been dubbed the first “GDPR-like” (referring to the EU General Data Protection Regulation, or GDPR) law in the United States. Known as the California Consumer Privacy Act, or CCPA, it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The CCPA could impact our business activities depending on how it is interpreted and exemplifies the vulnerability of our business to not only cyber threats but also the evolving regulatory environment related to personal data and protected health information.</w:t>
      </w:r>
    </w:p>
    <w:p>
      <w:pPr>
        <w:spacing w:after="0" w:line="18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addition to California, a number of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additional laws that will go into effect in 2026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194"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176" w:lineRule="exact"/>
        <w:rPr>
          <w:sz w:val="20"/>
          <w:szCs w:val="20"/>
          <w:color w:val="auto"/>
        </w:rPr>
      </w:pPr>
    </w:p>
    <w:p>
      <w:pPr>
        <w:ind w:right="3220" w:firstLine="749"/>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Regulation and Procedures Governing Approval of Medicinal Products in the European Union </w:t>
      </w:r>
      <w:r>
        <w:rPr>
          <w:rFonts w:ascii="Times New Roman" w:cs="Times New Roman" w:eastAsia="Times New Roman" w:hAnsi="Times New Roman"/>
          <w:sz w:val="18"/>
          <w:szCs w:val="18"/>
          <w:b w:val="1"/>
          <w:bCs w:val="1"/>
          <w:i w:val="1"/>
          <w:iCs w:val="1"/>
          <w:color w:val="auto"/>
        </w:rPr>
        <w:t>Review, Approval and Regulation of Drug Products in the European Union</w:t>
      </w: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To market any product outside of the United States, a sponsor must also comply with numerous regulatory requirements of other countries and jurisdictions regarding quality, safety and efficacy and governing, among other things, clinical trials, marketing authorization, commercial sales and distribution of products. Whether or not it obtains FDA approval for a product, a sponsor will need to obtain the necessary approvals by the comparable regulatory authorities of foreign countries or economic areas, such as the 27-member EU, before it can commence clinical trials or marketing of the product in those countries or jurisdictions. This process in the EU generally follows the same lines as in the United States and requires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28" w:name="page29"/>
    <w:bookmarkEnd w:id="28"/>
    <w:p>
      <w:pPr>
        <w:ind w:right="360"/>
        <w:spacing w:after="0" w:line="282" w:lineRule="auto"/>
        <w:rPr>
          <w:sz w:val="20"/>
          <w:szCs w:val="20"/>
          <w:color w:val="auto"/>
        </w:rPr>
      </w:pPr>
      <w:r>
        <w:rPr>
          <w:rFonts w:ascii="Times New Roman" w:cs="Times New Roman" w:eastAsia="Times New Roman" w:hAnsi="Times New Roman"/>
          <w:sz w:val="18"/>
          <w:szCs w:val="18"/>
          <w:color w:val="auto"/>
        </w:rPr>
        <w:t>satisfactory completion of preclinical studies and adequate and well-controlled clinical trials to establish the safety and efficacy of the product for each proposed indication.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189" w:lineRule="exact"/>
        <w:rPr>
          <w:sz w:val="20"/>
          <w:szCs w:val="20"/>
          <w:color w:val="auto"/>
        </w:rPr>
      </w:pPr>
    </w:p>
    <w:p>
      <w:pPr>
        <w:jc w:val="both"/>
        <w:ind w:right="180" w:firstLine="749"/>
        <w:spacing w:after="0" w:line="261" w:lineRule="auto"/>
        <w:rPr>
          <w:sz w:val="20"/>
          <w:szCs w:val="20"/>
          <w:color w:val="auto"/>
        </w:rPr>
      </w:pPr>
      <w:r>
        <w:rPr>
          <w:rFonts w:ascii="Times New Roman" w:cs="Times New Roman" w:eastAsia="Times New Roman" w:hAnsi="Times New Roman"/>
          <w:sz w:val="18"/>
          <w:szCs w:val="18"/>
          <w:color w:val="auto"/>
        </w:rPr>
        <w:t>Before a product enters clinical testing in the EU, the sponsor must conduct preclinical studies to demonstrate the safety of the investigational product for such clinical testing. These studies must be conducted in compliance with the principles of GLP, as set forth in EU Directive 2004/10/EC. In particular, preclinical studies, both in vitro and in vivo, must be planned, performed, monitored, recorded, reported and archived in accordance with GLP principles, which reflect the requirements of the Organization for Economic Co-operation and Development.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Clinical Trials in Support of a Marketing Authorization</w:t>
      </w:r>
    </w:p>
    <w:p>
      <w:pPr>
        <w:spacing w:after="0" w:line="202"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Clinical trials in the EU are governed by the Clinical Trials Regulation (EU) No 536/2014, or CTR, which replaced the prior Clinical Trials Directive 2001/20/EC, or CTD. The CTR is designed to simplify and streamline the authorization, conduct and transparency of clinical trials in the EU. Under the new coordinated procedure for the approval of clinical trials, the sponsor of a clinical trial to be conducted in more than one EU Member State submits a single application for approval. The submission is made through the Clinical Trials Information System, a new clinical trials portal overseen by the European Medicines Agency, or EMA, and available to clinical trial sponsors, competent authorities of the EU Member States and the public. All clinical trials in the EU (including those which are ongoing) are subject to the CTR.</w:t>
      </w:r>
    </w:p>
    <w:p>
      <w:pPr>
        <w:spacing w:after="0" w:line="18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CTR streamlines the process and includes a single set of documents to be prepared and submitted for the application,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and Part II is assessed separately by each Member State concerned. Strict deadlines have been established for the assessment of clinical trial applications. The role of the relevant ethics committees in the assessment procedure is governed by the national law of the relevant EU Member State.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in the United States, sponsors conducting certain clinical studies in the EU must post clinical trial information at the EudraCT website: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https://eudract.ema.europa.eu.</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Studies</w:t>
      </w:r>
    </w:p>
    <w:p>
      <w:pPr>
        <w:spacing w:after="0" w:line="18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Prior to obtaining a marketing authorization in the EU, sponsors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This requirement also applies when a sponsor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the development of a medicine for children is not needed or is not appropriate, such as for diseases that only affect the elderly population. Before a Marketing Authorization Application, or MAA, can be filed, or an existing marketing authorization can be amended, the EMA determines whether a sponsor has complied with the agreed studies and measures listed in each relevant PIP.</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 Designation</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March 2016, the EMA launched an initiative to facilitate development of product candidates in indications, which are often rare, for which few or no therapies currently exist. The PRIority MEdicines, or PRIME, scheme is intended to encourage drug development in areas of unmet medical need, and it provides for the accelerated assessment of product candidates that represent substantial innovation. Products from small- and medium-sized enterprises may qualify for early entry into the PRIME scheme than larger companies. Many benefits accrue to sponsors of product candidates with PRIME designation, including early and proactive regulatory dialogue with the EMA, frequent discussions on clinical trial designs and other development program elements, and accelerated MAA assessment once an application has been submitted. Importantly, a dedicated EMA contact and rapporteur from the Committee for Medicinal Products for Human Use, or CHMP, or Committee for Advanced Therapies are appointed early in PRIME scheme facilitating increased understanding of the product candidate at EMA’s Committee level.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w:t>
      </w:r>
    </w:p>
    <w:p>
      <w:pPr>
        <w:spacing w:after="0" w:line="229"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To obtain a marketing authorization, or MA, for a product under the EU regulatory system, a sponsor must submit an MAA either under a centralized procedure administered by the EMA or one of the procedures administered by competent authorities in EU Member States, including the decentralized procedure, national procedure, or mutual recognition procedure.</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centralized procedure provides for the grant of an MA by the European Commission, or EC, that is valid for all EU Member States. Pursuant to Regulation (EC) No. 726/2004, the centralized procedure is compulsory for certain types of product candidates, including those produced by certain biotechnological processes, designated as orphan products, that are advanced therapies, and that have a new active substance indicated for the treatment of certain diseases, including cancer. However, the centralized procedure may be optional for product candidates with a new active substance indicated for the treatment of other diseases and product candidates that are highly innovative or for which a centralized process is in the interest of patients. Sponsors must demonstrate the quality, safety, and efficacy of their product candidates to the EMA, which provides an opinion regarding the MAA. The EC then decides whether to grant or refuse marketing authorization in light of the opinion delivered by the EMA.</w:t>
      </w:r>
    </w:p>
    <w:p>
      <w:pPr>
        <w:spacing w:after="0" w:line="189"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The CHMP was established at the EMA and plays a vital role in the authorization of medicines in the EU. The CHMP provides scientific advice to sponsors investigating and developing new medicines, prepares scientific guidelines and regulatory guidance to help sponsors prepare MAAs, and cooperates with international partners on the harmonization of regulatory requirements. With respect to MAAs filed under the centralized procedure, the CHMP is responsible for conducting an initial assessment of a product candidate and the data supporting approval of the MAA. The maximum timeframe for the evaluation of an MAA is 210 days, excluding interruptions when additional information or written or oral explanation is to be provided by the sponsor in response to questions from the CHMP. Accelerated evaluation with a time limit of 150 days may be granted by the CHMP in exceptional cases.</w:t>
      </w:r>
    </w:p>
    <w:p>
      <w:pPr>
        <w:spacing w:after="0" w:line="173"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the basis of its review, the CHMP provides a scientific opinion on whether or not an MA should be granted for a product candidate. Within 15 calendar days of receipt of a final opinion from the CHMP, the EC must prepare a draft decision concerning an MAA. This draft decision must take the CHMP opinion and any relevant provisions of EU law into account. Before arriving at a final decision, the EC must consult the Standing Committee on Medicinal Products for Human Use. This committee is composed of representatives of the EU Member States and is chaired by a non-voting EC representative.</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decentralized marketing authorization procedure requires a separate application to, and leads to separate approval by, the competent authorities of each EU Member State in which the product candidate is applying to be marketed. This application is identical to the application that would be submitted to the EMA for authorization through the centralized procedure. The reference Member State, or RMS, prepares a draft assessment and drafts of the related materials within 120 days after receipt of a valid application. The resulting assessment report is submitted to the concerned EU Member States which, within 90 days of receipt, must decide whether to approve the assessment report. If the relevant EU Member State cannot approve the RMS’s assessment report due to concerns relating to a potential serious risk to public health, disputed elements may be referred to the EC, whose decision is binding on all EU Member States.</w:t>
      </w:r>
    </w:p>
    <w:p>
      <w:pPr>
        <w:spacing w:after="0" w:line="18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mutual recognition procedure similarly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6"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Periods of Authorization and Renewals</w:t>
      </w:r>
    </w:p>
    <w:p>
      <w:pPr>
        <w:spacing w:after="0" w:line="22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An MA is initially valid for five years and may be renewed after five years following a re-evaluation of the risk-benefit balance by the EMA or by the competent authority of the EU Member State. In connection with seeking a renewal, the MA holder must provide the EMA or the competent authority of the EU Member State with a consolidated version of the data in respect of quality, safety and efficacy or the medicine, including all variations introduced since the MA was granted, at least six months before the MA ceases to be valid. The EC or the competent authority of the EU Member State may decide, on justified grounds relating to pharmacovigilance, to proceed with an additional five-year period of MA. Once definitively renewed, the MA shall be valid for an unlimited period. If a renewed MA is not followed by the actual placing of the medicine on the EU market (in the case of the centralized procedure) or on the market of the authorizing EU Member State within three years after renewal, and is no longer actually present on the applicable market for three consecutive years, the MA ceases to be valid.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 Under Exceptional Circumstances</w:t>
      </w:r>
    </w:p>
    <w:p>
      <w:pPr>
        <w:spacing w:after="0" w:line="229"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The EC may grant a “marketing authorization under exceptional circumstances” under Article 14(8) of Regulation (EC) No 726/2004. This authorization is intended for medicines for which the sponsor can demonstrate that it is unable to provide comprehensive data on the efficacy and safety under normal conditions of use, because: the indications for which the product in question is intended are encountered so rarely that the sponsor cannot reasonably be expected to provide comprehensive evidence; given the present state of scientific knowledge, comprehensive information cannot be provided; or it would be contrary to generally accepted principles of medical ethics to collect such information.</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 marketing authorization under exceptional circumstances may be granted subject to certain specific obligations, which may include the following: the sponsor must complete an identified program of studies within a time period specified by the competent authority, the results of which form the basis of a reassessment of the benefit-risk profile; the medicine in question may be supplied by medical prescription only and may in certain cases be administered only under strict medical supervision, possibly in a hospital and in the case of a radiopharmaceutical, by an authorized person; and the package leaflet and any medical information must draw the attention of the medical practitioner to the fact that the particulars available concerning the medicinal product in question are as yet inadequate in certain specified respects.</w:t>
      </w:r>
    </w:p>
    <w:p>
      <w:pPr>
        <w:spacing w:after="0" w:line="187"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A marketing authorization under exceptional circumstances is subject to an annual process to review and reassess the risk-benefit balance. Continuation of the authorization is linked to the annual reassessment and a negative assessment could potentially result in the marketing authorization being suspended or revoked. The renewal of a marketing authorization under exceptional circumstances, however, follows the same rules as a standard MA. Thus, it is granted for an initial five-year period, after which the authorization will become valid indefinitely, unless the EMA decides that safety grounds merit one additional five-year renewal.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Conditional Marketing Authorization</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EC may also grant a “conditional marketing authorization” to a product prior to obtaining the comprehensive clinical data required for an MAA under Article 14-a of Regulation (EC) No 726/2004. A conditional marketing authorization may be granted for product candidate (including product candidates designated as orphan products) if: (i) the risk-benefit balance of the product candidate is positive, (ii) it is likely that the sponsor will be in a position to provide the required comprehensive clinical trial data, (iii) the product candidate fulfills an unmet medical need and (iv) the benefit to public health of the immediate availability on the market of the product candidate outweighs the risk inherent in the fact that additional data are still required. A conditional marketing authorization may contain specific obligations to be fulfilled by the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Regulatory Requirements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Following the issuance of an MA for a medicine, the sponsor of the MA is required to comply with a range of requirements applicable to the manufacturing, marketing, promotion and sale of medicinal products. These requirements include compliance with the EU’s stringent pharmacovigilance or safety reporting rules, which may include post-authorization studies and additional monitoring obligations. Further, 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1" w:name="page32"/>
    <w:bookmarkEnd w:id="31"/>
    <w:p>
      <w:pPr>
        <w:ind w:right="340"/>
        <w:spacing w:after="0" w:line="266" w:lineRule="auto"/>
        <w:rPr>
          <w:sz w:val="20"/>
          <w:szCs w:val="20"/>
          <w:color w:val="auto"/>
        </w:rPr>
      </w:pPr>
      <w:r>
        <w:rPr>
          <w:rFonts w:ascii="Times New Roman" w:cs="Times New Roman" w:eastAsia="Times New Roman" w:hAnsi="Times New Roman"/>
          <w:sz w:val="18"/>
          <w:szCs w:val="18"/>
          <w:color w:val="auto"/>
        </w:rPr>
        <w:t>Guidelines for Good Manufacturing Practice, or EU cGMP. These requirements include compliance with the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176"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At the same time, the marketing and promotion of authorized drugs, including industry-sponsored continuing medical education and advertising directed toward the prescribers of drugs and/or the general public, are strictly regulated in the EU under Directive 2001/83EC, as amended, and are also subject to EU Member State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Exclusivity</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New products approved on the basis of a complete data package currently qualify for eight years of data exclusivity and an additional two years of market exclusivity. Data exclusivity prevents sponsors that seek MA of generic products from referencing the innovator’s data in support of an abbreviated application. During the additional two-year period of market exclusivity, a generic MAA can be submitted and the innovator’s data may be referenced in that application, but no generic medicinal product can be placed on the EU market until the expiration of the market exclusivity. The overall ten-year period may be extended to a maximum of 11 years if, during the first eight years of those ten years, the MA holder for the innovative product obtains an authorization for one or more new therapeutic indications which are determined to bring a significant clinical benefit in comparison with existing therapies.</w:t>
      </w:r>
    </w:p>
    <w:p>
      <w:pPr>
        <w:spacing w:after="0" w:line="18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November 2020, the EC launched a review of the EU’s pharmaceutical legislation, including its provisions governing regulatory exclusivity. The EC’s proposal for revision of several legislative measures was published in April 2023 and includes, among other things, provisions that would potentially reduce the duration of regulatory exclusivity protection. On December 11, 2025, the European Parliament and Council reached a provisional political agreement on the legislation, which is expected to be adopted by mid-2026. Key changes include updating regulatory exclusivity to a new system with eight years of data exclusivity and a reduced market exclusivity period to one year, which can be extended if specific conditions are fulfilled up to a maximum of 11 years. This measure, and others, are expected to be adopted by mid-2026 and, following a transition period of 24 months, will likely take effect in mid-2028.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22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in the United States, a product candidate can be designated as an orphan drug by the EC if its sponsor can establish that the product candidate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that without incentives is unlikely to generate sufficient return from marketing in the EU to justify the necessary investment. For either of these categories, the sponsor must demonstrate that there is no satisfactory method of diagnosis, prevention or treatment of the condition in question that has been authorized in the EU or, if such method exists, the drug will be of significant benefit to those affected by the condition.</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If product candidate is designated as an orphan drug, the product will be eligible for a range of benefits during the development and regulatory review process, including scientific assistance for study protocols, authorization through the centralized marketing authorization procedure covering all EU Member States and a reduction or elimination of registration and MA fees.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Further, if and when the product is authorized for marketing, the orphan product will be entitled to ten years of market exclusivity in all EU Member States. However, MA may be granted to a similar medicinal product with the same orphan indication during the 10-year period with the consent of the MA holder of the original orphan product or if the manufacturer of the original orphan product is unable to supply sufficient quantities. MA may also be granted to a similar medicinal product with the same orphan indication if the product is safer, more effective or otherwise clinically superior to the original orphan product. The period of market exclusivity may, in addition, be reduced to six years if it can be demonstrated on the basis of available evidence that the original orphan product is sufficiently profitable not to justify maintenance of market exclusivity.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a sponsor obtains an MA in all EU Member States, or a MA granted in the centralized procedure by the EC, and the study results for the pediatric population are included in the application, even when negative, the product is eligible for an additional six-month period of qualifying patent protection through extension of the term of the Supplementary Protection Certificate, or SPC.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Extensions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EU provides for patent term extension through SPCs. The rules and requirements for obtaining a SPC are set out in Regulation (EC) 469/2009 and are similar to those in the United States. An SPC may extend the term of a patent for up to five years after its originally scheduled expiration date and can provide up to a maximum of fifteen years of marketing exclusivity for a drug. Although SPCs are available throughout the EU, sponsors must apply on a country-by-country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Decisions</w:t>
      </w:r>
    </w:p>
    <w:p>
      <w:pPr>
        <w:spacing w:after="0" w:line="22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Other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Companion Diagnostic Devices</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the European Union, medical devices such as companion diagnostics must comply with the General Safety and Performance Requirements, or SPRs, detailed in Annex I of the EU Medical Devices Regulation (Regulation (EU) 2017/745), or MDR, which came into force on May 26, 2021 and replaced the previously applicable EU Medical Devices Directive (Council Directive 93/42/EEC). Compliance with SPRs and additional requirements applicable to companion medical devices is a prerequisite to be able to affix the CE Mark of Conformity to medical devices, without which they cannot be marketed or sold. To demonstrate compliance with the SPRs, a manufacturer must undergo a conformity assessment procedure, which varies according to the type of medical device and its classification. The MDR is meant to establish a uniform, transparent, predictable, and sustainable regulatory framework across the EU for medical devices.</w:t>
      </w:r>
    </w:p>
    <w:p>
      <w:pPr>
        <w:spacing w:after="0" w:line="18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Separately, the regulatory authorities in the EU also adopted a new In Vitro Diagnostic Regulation, or IVDR, (EU) 2017/746, which became effective in May 2022. The new regulation replaces the In Vitro Diagnostics Directive (IVDD) 98/79/EC. Manufacturers wishing to apply to a notified body for a conformity assessment of their in vitro diagnostic medical device had until May 2022 to update their Technical Documentation to meet the requirements and comply with the new, more stringent Regulation. The regulation will, among other things: strengthen the rules on placing devices on the market and reinforce surveillance once they are available; establish explicit provisions on manufacturers’ responsibilities for the follow-up of the quality, performance, and safety of devices placed on the market; improve the traceability of medical devices throughout the supply chain to the end-user or patient through a unique identification number; set up a central database to provide patients, healthcare professionals and the public with comprehensive information on products available in the European Union; and strengthen rules for the assessment of certain high-risk devices, such as implants, which may have to undergo an additional check by experts before they are placed on the market.</w:t>
      </w:r>
    </w:p>
    <w:p>
      <w:pPr>
        <w:spacing w:after="0" w:line="188" w:lineRule="exact"/>
        <w:rPr>
          <w:sz w:val="20"/>
          <w:szCs w:val="20"/>
          <w:color w:val="auto"/>
        </w:rPr>
      </w:pPr>
    </w:p>
    <w:p>
      <w:pPr>
        <w:ind w:right="100" w:firstLine="749"/>
        <w:spacing w:after="0" w:line="277" w:lineRule="auto"/>
        <w:rPr>
          <w:sz w:val="20"/>
          <w:szCs w:val="20"/>
          <w:color w:val="auto"/>
        </w:rPr>
      </w:pPr>
      <w:r>
        <w:rPr>
          <w:rFonts w:ascii="Times New Roman" w:cs="Times New Roman" w:eastAsia="Times New Roman" w:hAnsi="Times New Roman"/>
          <w:sz w:val="17"/>
          <w:szCs w:val="17"/>
          <w:color w:val="auto"/>
        </w:rPr>
        <w:t>The IVDR became effective in May 2022. However, it became clear in 2021 that that EU Member States, health institutions and economic operators were not ready to apply the IVDR as from that date. The EC therefore proposed a progressive or staggered roll-out of the rules of the IVDR. The current transition periods range from May 26, 2025 for high risk in vitro diagnostics, or IVDs, to May 26, 2027 for lower risk IVDs. Certain provisions for devices manufactured and used in health institutions, would have to apply as from May 26, 2028. These transition periods only apply to so called “legacy device”, meaning devices covered by a certificate or declaration of conformity issued under the previous legal framework (notably, the IVDD).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Approval and Regulation of Medical Products in the United Kingdom</w:t>
      </w:r>
    </w:p>
    <w:p>
      <w:pPr>
        <w:spacing w:after="0" w:line="229"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As of January 1, 2025, the Medicines and Healthcare Products Regulatory Agency, or the MHRA, is responsible for approving all medicinal products destined for the United Kingdom market (Great Britain and Northern Ireland). The MHRA relies on the Human Medicines Regulations 2012 (SI 2012/1916) (as amended), or the HMR, as the basis for regulating medicines. The HMR has incorporated into domestic law the body of EU law instruments governing medicinal products that existed prior to the United Kingdom’s withdrawal from the EU. On April 28, 2025, the UK Parliament adopted amendments to improve and strengthen the clinical trials regulatory regime in the United Kingdom. These revisions will take effect on April 28, 2026, and were needed to replace the prior requirements in the United Kingdom that were based on the repealed CTD, which has been replaced by the CTR.</w:t>
      </w:r>
    </w:p>
    <w:p>
      <w:pPr>
        <w:spacing w:after="0" w:line="189"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In addition, as of January 1, 2024, an international recognition procedure, or IRP, applies in the United Kingdom and is designed to facilitate approval of pharmaceutical products in the United Kingdom. The IRP is open to sponsors that have previously received an authorization for the same product from one of the MHRA’s specified Reference Regulators, or RRs. The RRs include the FDA, EMA and regulators in the EEA member states for approvals in the EU centralized procedure and mutual recognition procedure, and the FDA for approvals granted in the United States. The RR assessment must have undergone a full and standalone review. RR assessments based on reliance or recognition cannot be used to support an IRP application. A CHMP positive opinion is an RR authorization for the purposes of IRP.</w:t>
      </w:r>
    </w:p>
    <w:p>
      <w:pPr>
        <w:spacing w:after="0" w:line="18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Following the withdrawal of the United Kingdom from the EU, the UK Data Protection Act applies to the processing of personal data that takes place in the United Kingdom and includes parallel obligations to those set forth by GDPR. The United Kingdom government has determined that it considers all EU Member States and EEA member states to be adequate for the purposes of data protection, ensuring that data flows from the United Kingdom to the EU/EEA remain unaffected. Further, the EC decided in June 2021 that the level of data protection in the United Kingdom is “essentially adequate” for purposes of data transfer from the EU to the United Kingdom. On December 19, 2025, the EC renewed this decision until December 27, 2031. The United Kingdom and the U.S. have also agreed to a U.S.- United Kingdom “Data Bridge,” which functions similarly to the EU-U.S. Data Privacy Framework and provides an additional legal mechanism for companies to transfer personal data from the United Kingdom to the United States.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Data Protection Regulation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194"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In July 2020, the Court of Justice of the European Union, or the CJEU, invalidated the EU-U.S. Privacy Shield framework, one of the mechanisms used to legitimize the transfer of personal data from the EEA to the United States. The CJEU decision also drew into question the long-term viability of an alternative means of data transfer, the standard contractual clauses, for transfers of personal data from the EEA to the United States. Following the July 2020 CJEU judgement invalidating the so-called EU-U.S. Privacy Shield, the EC adopted an adequacy decision for the EU-U.S. Data Privacy Framework in July 2023. This adequacy decision permits U.S. companies who self-certify under the EU-U.S. Data Privacy Framework to rely on it as a valid data transfer mechanism for data transfers from the EU to the United States. However, some privacy advocacy groups have already suggested that they will be challenging the EU-U.S. Data Privacy Framework, and there is currently one pending litigation against the EU-U.S. Data Privacy Framework before the CJEU, C-703/25 P – </w:t>
      </w:r>
      <w:r>
        <w:rPr>
          <w:rFonts w:ascii="Times New Roman" w:cs="Times New Roman" w:eastAsia="Times New Roman" w:hAnsi="Times New Roman"/>
          <w:sz w:val="18"/>
          <w:szCs w:val="18"/>
          <w:i w:val="1"/>
          <w:iCs w:val="1"/>
          <w:color w:val="auto"/>
        </w:rPr>
        <w:t>Latombe v. Commission</w:t>
      </w:r>
      <w:r>
        <w:rPr>
          <w:rFonts w:ascii="Times New Roman" w:cs="Times New Roman" w:eastAsia="Times New Roman" w:hAnsi="Times New Roman"/>
          <w:sz w:val="18"/>
          <w:szCs w:val="18"/>
          <w:color w:val="auto"/>
        </w:rPr>
        <w:t>. If these challenges are successful, they may not only impact the EU-U.S. Data Privacy Framework, but also further limit the viability of the so-called standard contractual clauses and other data transfer mechanisms. The uncertainty around this issue has the potential to impact our business.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Coverage, Pricing, and Reimbursement</w:t>
      </w:r>
    </w:p>
    <w:p>
      <w:pPr>
        <w:spacing w:after="0" w:line="229" w:lineRule="exact"/>
        <w:rPr>
          <w:sz w:val="20"/>
          <w:szCs w:val="20"/>
          <w:color w:val="auto"/>
        </w:rPr>
      </w:pPr>
    </w:p>
    <w:p>
      <w:pPr>
        <w:ind w:right="60" w:firstLine="749"/>
        <w:spacing w:after="0" w:line="218" w:lineRule="exact"/>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drug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to reimburse all or part of the associated healthcare costs. Patients are unlikely to use any drug product candidates we may develop unless coverage is provided and reimbursement is adequate to cover a significant portion of the cost of such drug product candidates. Even if any drug product candidates we may develop are approved, sales of such drug product candidates will depend, in part, on the extent to which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including government health programs in the United States such as Medicare and Medicaid, commercial health insurers, and managed care organizations, provide coverage, and establish adequate reimbursement levels for, such drug product candidates. The process for determining whether a payor will provide coverage for a product may be separate from the process for setting the price or reimbursement rate that the payor will pay for the product once coverage is approved.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increasingly challenging the prices charged, examining the medical necessity, and reviewing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medical products and services and imposing controls to manage costs.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may limit coverage to specific products on an approved list, also known as a formulary, which might not include all of the approved products for a particular indication.</w:t>
      </w:r>
    </w:p>
    <w:p>
      <w:pPr>
        <w:spacing w:after="0" w:line="200" w:lineRule="exact"/>
        <w:rPr>
          <w:sz w:val="20"/>
          <w:szCs w:val="20"/>
          <w:color w:val="auto"/>
        </w:rPr>
      </w:pPr>
    </w:p>
    <w:p>
      <w:pPr>
        <w:ind w:right="140" w:firstLine="749"/>
        <w:spacing w:after="0" w:line="218" w:lineRule="exact"/>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the product, in addition to the costs required to obtain FDA or other comparable marketing approvals. Nonetheless, drug product candidates may not be considered medically necessary or cost effective. A decision by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not to cover any drug product candidates we may develop could reduce physician utilization of such drug product candidates once approved and have a material adverse effect on our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reimbursement and coverage may not be available to enable us to maintain price levels sufficient to realize an appropriate return on our investment in product development.</w:t>
      </w:r>
    </w:p>
    <w:p>
      <w:pPr>
        <w:spacing w:after="0" w:line="204" w:lineRule="exact"/>
        <w:rPr>
          <w:sz w:val="20"/>
          <w:szCs w:val="20"/>
          <w:color w:val="auto"/>
        </w:rPr>
      </w:pPr>
    </w:p>
    <w:p>
      <w:pPr>
        <w:ind w:right="80" w:firstLine="749"/>
        <w:spacing w:after="0" w:line="219" w:lineRule="exact"/>
        <w:rPr>
          <w:sz w:val="20"/>
          <w:szCs w:val="20"/>
          <w:color w:val="auto"/>
        </w:rPr>
      </w:pPr>
      <w:r>
        <w:rPr>
          <w:rFonts w:ascii="Times New Roman" w:cs="Times New Roman" w:eastAsia="Times New Roman" w:hAnsi="Times New Roman"/>
          <w:sz w:val="18"/>
          <w:szCs w:val="18"/>
          <w:color w:val="auto"/>
        </w:rPr>
        <w:t>The containment of healthcare costs also has become a priority of federal, state and foreign governments and the prices of pharmaceuticals have been a focus in this effort. Governments have shown significant interest in implementing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containment programs, including price controls, restrictions on reimbursement, and requirements for substitution of generic products. Adoption of price controls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containment measures, and adoption of more restrictive policies in jurisdictions with existing controls and measures, could further limit a company’s revenue generated from the sale of any approved products. Coverage policies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20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Outside the United States, ensuring adequate coverage and payment for any drug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drug product candidates we may develop to other available therapies. The conduct of such a clinical trial could be expensive and result in delays in our commercialization efforts.</w:t>
      </w:r>
    </w:p>
    <w:p>
      <w:pPr>
        <w:spacing w:after="0" w:line="183"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a particular product candidate to currently available therapies (so 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5" w:name="page36"/>
    <w:bookmarkEnd w:id="35"/>
    <w:p>
      <w:pPr>
        <w:ind w:right="80"/>
        <w:spacing w:after="0" w:line="220" w:lineRule="exact"/>
        <w:rPr>
          <w:sz w:val="20"/>
          <w:szCs w:val="20"/>
          <w:color w:val="auto"/>
        </w:rPr>
      </w:pPr>
      <w:r>
        <w:rPr>
          <w:rFonts w:ascii="Times New Roman" w:cs="Times New Roman" w:eastAsia="Times New Roman" w:hAnsi="Times New Roman"/>
          <w:sz w:val="18"/>
          <w:szCs w:val="18"/>
          <w:color w:val="auto"/>
        </w:rPr>
        <w:t>continue after reimbursement has been obtained. Reference pricing used by various European Union member states, and parallel trade (arbitrage between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priced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Law and Regulation</w:t>
      </w:r>
    </w:p>
    <w:p>
      <w:pPr>
        <w:spacing w:after="0" w:line="188" w:lineRule="exact"/>
        <w:rPr>
          <w:sz w:val="20"/>
          <w:szCs w:val="20"/>
          <w:color w:val="auto"/>
        </w:rPr>
      </w:pPr>
    </w:p>
    <w:p>
      <w:pPr>
        <w:ind w:firstLine="749"/>
        <w:spacing w:after="0" w:line="228" w:lineRule="exact"/>
        <w:rPr>
          <w:sz w:val="20"/>
          <w:szCs w:val="20"/>
          <w:color w:val="auto"/>
        </w:rPr>
      </w:pPr>
      <w:r>
        <w:rPr>
          <w:rFonts w:ascii="Times New Roman" w:cs="Times New Roman" w:eastAsia="Times New Roman" w:hAnsi="Times New Roman"/>
          <w:sz w:val="18"/>
          <w:szCs w:val="18"/>
          <w:color w:val="auto"/>
        </w:rPr>
        <w:t>Healthcare providers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play a primary role in the recommendation and prescription of pharmaceutical products that are granted marketing approval. Arrangements with providers, consultants,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and customers are subject to broadly applicable fraud and abuse,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false claims laws, reporting of payments to physicians and teaching physicians and patient privacy laws and regulations and other healthcare laws and regulations that may constrain our business and/or financial arrangements. Restrictions under applicable federal and state healthcare laws and regulations, include the following:</w:t>
      </w:r>
    </w:p>
    <w:p>
      <w:pPr>
        <w:spacing w:after="0" w:line="158" w:lineRule="exact"/>
        <w:rPr>
          <w:sz w:val="20"/>
          <w:szCs w:val="20"/>
          <w:color w:val="auto"/>
        </w:rPr>
      </w:pPr>
    </w:p>
    <w:p>
      <w:pPr>
        <w:ind w:left="1140" w:right="80" w:hanging="383"/>
        <w:spacing w:after="0" w:line="231" w:lineRule="exact"/>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199" w:lineRule="exact"/>
        <w:rPr>
          <w:rFonts w:ascii="Times New Roman" w:cs="Times New Roman" w:eastAsia="Times New Roman" w:hAnsi="Times New Roman"/>
          <w:sz w:val="18"/>
          <w:szCs w:val="18"/>
          <w:color w:val="auto"/>
        </w:rPr>
      </w:pPr>
    </w:p>
    <w:p>
      <w:pPr>
        <w:ind w:left="1140" w:right="40" w:hanging="383"/>
        <w:spacing w:after="0" w:line="261"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79" w:lineRule="exact"/>
        <w:rPr>
          <w:rFonts w:ascii="Times New Roman" w:cs="Times New Roman" w:eastAsia="Times New Roman" w:hAnsi="Times New Roman"/>
          <w:sz w:val="18"/>
          <w:szCs w:val="18"/>
          <w:color w:val="auto"/>
        </w:rPr>
      </w:pPr>
    </w:p>
    <w:p>
      <w:pPr>
        <w:ind w:left="1140" w:right="160" w:hanging="383"/>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penalty and false statement laws and regulations relating to pricing and submission of pricing information for government programs, including penalties for knowingly and intentionally overcharging 340b eligible entities and the submission of false or fraudulent pricing information to government entities;</w:t>
      </w:r>
    </w:p>
    <w:p>
      <w:pPr>
        <w:spacing w:after="0" w:line="175" w:lineRule="exact"/>
        <w:rPr>
          <w:rFonts w:ascii="Times New Roman" w:cs="Times New Roman" w:eastAsia="Times New Roman" w:hAnsi="Times New Roman"/>
          <w:sz w:val="18"/>
          <w:szCs w:val="18"/>
          <w:color w:val="auto"/>
        </w:rPr>
      </w:pPr>
    </w:p>
    <w:p>
      <w:pPr>
        <w:ind w:left="1140" w:right="360" w:hanging="383"/>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175" w:lineRule="exact"/>
        <w:rPr>
          <w:rFonts w:ascii="Times New Roman" w:cs="Times New Roman" w:eastAsia="Times New Roman" w:hAnsi="Times New Roman"/>
          <w:sz w:val="18"/>
          <w:szCs w:val="18"/>
          <w:color w:val="auto"/>
        </w:rPr>
      </w:pPr>
    </w:p>
    <w:p>
      <w:pPr>
        <w:jc w:val="both"/>
        <w:ind w:left="1140" w:right="440" w:hanging="383"/>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75"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61" w:lineRule="exact"/>
        <w:rPr>
          <w:rFonts w:ascii="Times New Roman" w:cs="Times New Roman" w:eastAsia="Times New Roman" w:hAnsi="Times New Roman"/>
          <w:sz w:val="18"/>
          <w:szCs w:val="18"/>
          <w:color w:val="auto"/>
        </w:rPr>
      </w:pPr>
    </w:p>
    <w:p>
      <w:pPr>
        <w:ind w:left="1140" w:right="440" w:hanging="383"/>
        <w:spacing w:after="0" w:line="312"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which prohibits companies and their intermediaries from making, or offering or promising to make improper payments to non-U.S. officials for the purpose of obtaining or retaining business or otherwise seeking favorable treatment;</w:t>
      </w:r>
    </w:p>
    <w:p>
      <w:pPr>
        <w:spacing w:after="0" w:line="139" w:lineRule="exact"/>
        <w:rPr>
          <w:rFonts w:ascii="Times New Roman" w:cs="Times New Roman" w:eastAsia="Times New Roman" w:hAnsi="Times New Roman"/>
          <w:sz w:val="17"/>
          <w:szCs w:val="17"/>
          <w:color w:val="auto"/>
        </w:rPr>
      </w:pPr>
    </w:p>
    <w:p>
      <w:pPr>
        <w:ind w:left="1140" w:hanging="383"/>
        <w:spacing w:after="0" w:line="258"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Affordable Care Act, or PPACA, as amended by the Health Care Education Reconciliation Act, which requires certain manufacturers of drugs, devices, biologics and medical supplies to report annually to the Centers for Medicare &amp; Medicaid Services, or CMS, within HHS information related to payments and other transfers of value made by that entity to physicians, other healthcare providers and teaching hospitals, as well as ownership and investment interests held by physicians and their immediate family members; and</w:t>
      </w:r>
    </w:p>
    <w:p>
      <w:pPr>
        <w:spacing w:after="0" w:line="142" w:lineRule="exact"/>
        <w:rPr>
          <w:rFonts w:ascii="Times New Roman" w:cs="Times New Roman" w:eastAsia="Times New Roman" w:hAnsi="Times New Roman"/>
          <w:sz w:val="18"/>
          <w:szCs w:val="18"/>
          <w:color w:val="auto"/>
        </w:rPr>
      </w:pPr>
    </w:p>
    <w:p>
      <w:pPr>
        <w:ind w:left="1140" w:right="60" w:hanging="383"/>
        <w:spacing w:after="0" w:line="259" w:lineRule="exact"/>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and false claims laws, which may apply to healthcare items or services that are reimbursed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governmental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including private insurers.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36" w:name="page37"/>
    <w:bookmarkEnd w:id="36"/>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 By way of example, the United States and state governments continue to propose and pass legislation designed to reduce the cost of healthcare. In March 2010, Congress enacted the PPACA, which, among other things, includes changes to the coverage and payment for products under government health care programs.</w:t>
      </w:r>
    </w:p>
    <w:p>
      <w:pPr>
        <w:spacing w:after="0" w:line="18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w:t>
      </w:r>
    </w:p>
    <w:p>
      <w:pPr>
        <w:spacing w:after="0" w:line="187"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drug product candidates for which we may obtain regulatory approval or the frequency with which any such product candidate is prescribed or used.</w:t>
      </w:r>
    </w:p>
    <w:p>
      <w:pPr>
        <w:spacing w:after="0" w:line="180"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Under current legislation, the actual reductions in Medicare payments may vary up to 4%. The Consolidated Appropriations Act, which was signed into law by President Biden in December 2022, made several changes to sequestration of the Medicare program. Section 1001 of the Consolidated Appropriations Act delays the 4% Statutory Pay-As-You-Go Act of 2010 sequester for two years, through the end of calendar year 2024. Triggered by enactment of the American Rescue Plan Act of 2021, the 4% cut to the Medicare program would have taken effect in January 2023. The Consolidated Appropriations Act’s health care offset title includes Section 4163, which extends the 2% Budget Control Act of 2011 Medicare sequester for six months into fiscal year 2032 and lowers the payment reduction percentages in fiscal years 2030 and 2031.</w:t>
      </w:r>
    </w:p>
    <w:p>
      <w:pPr>
        <w:spacing w:after="0" w:line="18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Since enactment of the PPACA, there have been, and continue to be, numerous legal challenges and Congressional actions to repeal and replace provisions of the law. For example, with enactment of the Tax Cuts and Jobs Act of 2017, or the TCJA, Congress repealed the “individual mandate.” The repeal of this provision, which requires most Americans to carry a minimal level of health insurance, became effective in 2019. On June 17, 2021, the U.S. Supreme Court dismissed the most recent judicial challenge to the PPACA brought by several states without specifically ruling on the constitutionality of the PPACA. Litigation and legislation over the PPACA are likely to continue, with unpredictable and uncertain results.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Price Initiatives</w:t>
      </w:r>
    </w:p>
    <w:p>
      <w:pPr>
        <w:spacing w:after="0" w:line="229" w:lineRule="exact"/>
        <w:rPr>
          <w:sz w:val="20"/>
          <w:szCs w:val="20"/>
          <w:color w:val="auto"/>
        </w:rPr>
      </w:pPr>
    </w:p>
    <w:p>
      <w:pPr>
        <w:ind w:right="420" w:firstLine="749"/>
        <w:spacing w:after="0" w:line="261"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A number of states have submitted Section 804 Importation Program proposals to the FDA with the goal of obtaining authority to import drugs from Canada, subject to conditions. On January 5, 2024, the FDA approved Florida’s plan for Canadian drug</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7" w:name="page38"/>
    <w:bookmarkEnd w:id="37"/>
    <w:p>
      <w:pPr>
        <w:ind w:right="220"/>
        <w:spacing w:after="0" w:line="256" w:lineRule="auto"/>
        <w:rPr>
          <w:sz w:val="20"/>
          <w:szCs w:val="20"/>
          <w:color w:val="auto"/>
        </w:rPr>
      </w:pPr>
      <w:r>
        <w:rPr>
          <w:rFonts w:ascii="Times New Roman" w:cs="Times New Roman" w:eastAsia="Times New Roman" w:hAnsi="Times New Roman"/>
          <w:sz w:val="18"/>
          <w:szCs w:val="18"/>
          <w:color w:val="auto"/>
        </w:rPr>
        <w:t>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 On May 21, 2025, the FDA announced that it would offer individual states the opportunity to submit a draft proposal for pre-review and meet with the agency to obtain initial feedback from FDA prior to formally submitting their section 804 importation program (SIP) proposal. The intent of these meetings is to assist states in developing their proposals by further clarifying requirements, enhancing the quality of proposals submitted to the agency and ultimately shortening the review timeline.</w:t>
      </w:r>
    </w:p>
    <w:p>
      <w:pPr>
        <w:spacing w:after="0" w:line="18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final rule would eliminate the current safe harbor for Medicare drug rebates and create new safe harbors for beneficiary point-of-sale discounts and pharmacy benefit manager service fees. It originally was set to go into effect on January 1, 2022, but with passage of the Inflation Reduction Act of 2022, or IRA, has been delayed by Congress to January 1, 2032.</w:t>
      </w:r>
    </w:p>
    <w:p>
      <w:pPr>
        <w:spacing w:after="0" w:line="183"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On August 16, 2022, the IRA was signed into law by the President of the United States.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and it replaces the Part D coverage gap discount program with a new discounting program (beginning in 2025). In addition, the IRA established inflation rebate programs under Medicare Part B and Part D. These programs require 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IRA permits the Secretary of HHS to implement many of these provisions through guidance, as opposed to regulation, for the initial years.</w:t>
      </w:r>
    </w:p>
    <w:p>
      <w:pPr>
        <w:spacing w:after="0" w:line="18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Drugs and biologics that have been approved for a single rare disease or condition were originally categorically excluded from price negotiation but, with passage of the One Big Beautiful Bill Act on July 3, 2025, Congress extended this exemption to drugs and biologics with multiple orphan drug designations.</w:t>
      </w:r>
    </w:p>
    <w:p>
      <w:pPr>
        <w:spacing w:after="0" w:line="18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In addition to the drug price negotiation program, the IRA established inflation rebate programs under Medicare Part B and Part D. These programs require 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new law also caps Medicare out-of-pocket drug costs at $2,000 a year.</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15 drugs will become effective on January 1, 2027. On January 27, 2026, CMS published the list of 15 drugs selected for the third cycle of negotiations. These negotiated prices will become effective on January 1, 2028.</w:t>
      </w:r>
    </w:p>
    <w:p>
      <w:pPr>
        <w:spacing w:after="0" w:line="180" w:lineRule="exact"/>
        <w:rPr>
          <w:sz w:val="20"/>
          <w:szCs w:val="20"/>
          <w:color w:val="auto"/>
        </w:rPr>
      </w:pPr>
    </w:p>
    <w:p>
      <w:pPr>
        <w:ind w:right="160" w:firstLine="749"/>
        <w:spacing w:after="0" w:line="277" w:lineRule="auto"/>
        <w:rPr>
          <w:sz w:val="20"/>
          <w:szCs w:val="20"/>
          <w:color w:val="auto"/>
        </w:rPr>
      </w:pPr>
      <w:r>
        <w:rPr>
          <w:rFonts w:ascii="Times New Roman" w:cs="Times New Roman" w:eastAsia="Times New Roman" w:hAnsi="Times New Roman"/>
          <w:sz w:val="17"/>
          <w:szCs w:val="17"/>
          <w:color w:val="auto"/>
        </w:rPr>
        <w:t>On June 6, 2023, Merck &amp; Co. filed a lawsuit against HHS and CMS asserting that, among other things, the IRA’s Drug Price Negotiation Program for Medicare constitutes an uncompensated taking in violation of the Fifth Amendment of the Constitution. Subsequently, a number of other parties also filed lawsuits in various courts with similar constitutional claims. HHS has generally won the substantive disputes in these cases or succeeded in getting claims dismissed for lack of standing or on the merits. For example, on May 8, 2025, the U.S. Court of Appeals for the Third Circuit rejected AstraZeneca L.P.’s challenge to the Medicare price negotiation program, finding that the program did not violate the company’s due process rights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under the Constitution. Litigation involving these and other provisions of the IRA will continue with unpredictable and uncertain results.</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Since adoption of the IRA, the Trump Administration has taken a number of actions to reduce the costs of pharmaceutical products. For example, on April 15, 2025, President Trump issued an Executive Order which directs HHS to take steps to reduce the prices of pharmaceutical products. Further, on May 12, 2025, President Trump issued an additional Executive Order calling on pharmaceutical manufacturers to voluntarily reduce the prices of medicines in the United States. The Order provides that if such actions do not lower the costs of pharmaceuticals, the Secretary of HHS would pursue other actions, including proposing a rulemaking that imposes MFN pricing in the United States. Thereafter, on July 31, 2025, the President issued letters to 17 pharmaceutical companies reiterating the requirements of the May 12, 2025, Executive Order and demanding that such companies extend MFN pricing to Medicaid patients. Virtually all of these pharmaceutical companies have entered into agreements with the administration to provide for lower prices on certain pharmaceuticals. On February 5, 2026, President Trump launched TrumpRx.gov, a website that directs individuals to pharmaceutical manufacturer websites that are offering price discounts based on the administration’s pricing agreements with pharmaceutical manufacturers.</w:t>
      </w:r>
    </w:p>
    <w:p>
      <w:pPr>
        <w:spacing w:after="0" w:line="188"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Separately, on December 23, 2025, CMS, through its Center for Medicare and Medicaid Innovation, or CMMI, proposed two five-year pilot programs to implement a “reference pricing” regime for drugs paid for under Medicare for 25% of covered beneficiaries. The programs are referred to as the Global Benchmark for Efficient Drug Pricing Model for Medicare Part B drugs, referred to as GLOBE, and the Guarding U.S. Medicare Against Rising Drug Costs for Medicare Part D drugs, referred to as GUARD. Under the proposed pilot programs, a manufacturer would owe rebates to Medicare if prices for their drugs exceeded the prices paid by other economically comparable reference countries, defined in the proposed regulations as OECD countries with a GDP of $400 billion and a per capita GDP that is at least 60% of the US per capita GDP (an initial list of 19 reference countries is included in the proposed rule). These pilot programs are proposed to go into effect beginning October 1, 2026.</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drug product candidates or additional pricing pressures. This may be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Regulations</w:t>
      </w:r>
    </w:p>
    <w:p>
      <w:pPr>
        <w:spacing w:after="0" w:line="229"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our operations. If our operations result in contamination of the environment or expose individuals to hazardous substances, we could be liable for damages and governmental fines. Equivalent laws have been adopted in foreign countries that impose similar obligations.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2025, we had 29 full time employees. Substantially all of our employees are located in Massachusetts. None of our employees are represented by a labor union or covered by a collective bargaining agreement, and we believe our relationship with our employees is good. Additionally, we utilize independent contractors and other third parties to assist with various aspects of our drug and product development.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9" w:name="page40"/>
    <w:bookmarkEnd w:id="39"/>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We recognize the value of our employees and are committed to being a workplace that encourages respect, collaboration, communication, transparency, and integrity. We seek to hire employees with diverse backgrounds and perspectives. Our success starts and ends with having the best talent, and as a result, we are focused on attracting, developing and retaining our employees. We offer employees a competitive and comprehensive benefits package. The principal purposes of our incentive plans are to attract, retain and motivate selected employees, consultants, advisors and directors through the granting of stock-based compensation awards and cash-based performance bonus awards, as applicable. We support employees attending industry conferences and obtaining professional licenses. We use a variety of human capital measures in managing our business, including: workforce demographics; inclusion; and employee health and safety.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Corporation Information</w:t>
      </w:r>
    </w:p>
    <w:p>
      <w:pPr>
        <w:spacing w:after="0" w:line="202" w:lineRule="exact"/>
        <w:rPr>
          <w:sz w:val="20"/>
          <w:szCs w:val="20"/>
          <w:color w:val="auto"/>
        </w:rPr>
      </w:pPr>
    </w:p>
    <w:p>
      <w:pPr>
        <w:ind w:firstLine="630"/>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December 31, 2014 under the name Imagen Biopharma, Inc. We changed our name to Cue Biopharma, Inc. in October 2016. Our website address is www.cuebiopharma.com. Our website and the information contained on, or that can be accessed through, the website will not be deemed to be incorporated by reference in, and are not considered part of, this Annual Report on Form 10-K or any other report or document we file with the Securities and Exchange Commission, or the SEC, and any reference to our website address is intended to be an inactive textual reference only.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are subject to various risks that may materially harm our business, prospects, financial condition and results of operations. This discussion highlights some of the risks that may affect our future operating results. These are the risks and uncertainties we believe are most important for you to consider. We cannot be certain that we will successfully address these risks. If we are unable to address these risks, our business may not grow, our stock price may suffer, and we may be unable to stay in business. Additional risks and uncertainties not presently known to us, which we currently deem immaterial or which are similar to those faced by other companies in our industry or business in general, may also impair our business, prospects, results of operations and financial condition. The risks discussed below include forward-looking statements, and our actual results may differ substantially from those discussed in these forward-looking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recurring losses from operations raise substantial doubt regarding our ability to continue as a going concern.</w:t>
      </w:r>
    </w:p>
    <w:p>
      <w:pPr>
        <w:spacing w:after="0" w:line="364"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since our inception and have never generated revenue or profit from product sales, and it is possible we will never generate revenue or profit from product sales. As of December 31, 2025, we had cash and cash equivalents of $27.1 million. Based on our current operating plans, we believe we will have sufficient funds to meet our obligations into the first quarter of 2027. However, we will need to raise substantial additional capital to fund our future operations and remain as a going concern. There can be no assurance that we will be able to obtain additional funding, including through a combination of equity offerings, collaborations, and other strategic alliances, or other sources on acceptable terms, if at all. To the extent that we raise additional capital through future equity offerings, the ownership interest of common stockholders will be diluted, which dilution may be significant. We cannot guarantee that we will be able to obtain any or sufficient additional funding or that such funding, if available, will be obtainable on terms satisfactory to us. In the event that we are unable to obtain any or sufficient additional funding, there can be no assurance that we will be able to continue as a going concern, and we will be forced to delay, reduce or discontinue our product development programs or consider other various strategic alternatives, including the sale or disposition of our rights or assets or our dissolution and liquidation with little or no return to investors. Any such change in our product development programs or strategic alternatives may have a material adverse effect on the price per share of our common stock.</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Moreover, these factors raise substantial doubt about our ability to continue as a going concern. Substantial doubt about our ability to continue as a going concern or any actions described above that we may take as a result of our inability to obtain sufficient additional funding may materially and adversely affect the price per share of our common stock, and it may be more difficult for us to obtain financing. If existing or potential collaborators decline to do business with us or potential investors decline to participate in any future financings due to such concerns, our ability to increase our cash position may be limited. The perception that we may not be able to continue as a going concern may cause others to choose not to deal with us due to concerns about our ability to meet our contractual obligations. We could also be forced to sell or dispose of our rights or assets. Any inability to raise adequate funds on commercially reasonable terms could have a material adverse effect on our business, results of operation and financial condition, including the possibility that a lack of funds could cause our business to fail, dissolve and liquidate with little or no return to investors.</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a clinical-stage biopharmaceutical company, have no history of generating commercial revenue, have a history of operating losses and may never achieve or maintain profitability.</w:t>
      </w:r>
    </w:p>
    <w:p>
      <w:pPr>
        <w:spacing w:after="0" w:line="18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We have a limited operating history, have never generated revenue from product sales, and have a history of losses from operations. As of December 31, 2025, we had an accumulated deficit of $368.5 million. Our ability to achieve commercial revenue-generating operations and, ultimately, achieve profitability will depend on whether we can obtain additional capital when we need it, complete the development of our technology, receive regulatory approval of our drug product candidates, successfully commercialize our drug product candidates and/or find and/or maintain strategic collaborations that can incorporate our drug product candidates into new or existing drugs which can be successfully commercialized together. There can be no assurance that we will ever generate commercial revenues or achieve or maintain profitability.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do not have, and may never develop, any FDA-approved or commercialized products.</w:t>
      </w:r>
    </w:p>
    <w:p>
      <w:pPr>
        <w:spacing w:after="0" w:line="256"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We currently do not have any products approved by the FDA or any other regulatory agency or any commercialized products and thus have never generated commercial revenue from product sales. We have not yet sought to obtain 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1" w:name="page42"/>
    <w:bookmarkEnd w:id="41"/>
    <w:p>
      <w:pPr>
        <w:ind w:right="420"/>
        <w:spacing w:after="0" w:line="282" w:lineRule="auto"/>
        <w:rPr>
          <w:sz w:val="20"/>
          <w:szCs w:val="20"/>
          <w:color w:val="auto"/>
        </w:rPr>
      </w:pPr>
      <w:r>
        <w:rPr>
          <w:rFonts w:ascii="Times New Roman" w:cs="Times New Roman" w:eastAsia="Times New Roman" w:hAnsi="Times New Roman"/>
          <w:sz w:val="18"/>
          <w:szCs w:val="18"/>
          <w:color w:val="auto"/>
        </w:rPr>
        <w:t>regulatory approvals for any drug product candidates in the United States or any foreign market. Therefore, any estimated timing for our drug product candidates to be commercialized would be highly speculative.</w:t>
      </w:r>
    </w:p>
    <w:p>
      <w:pPr>
        <w:spacing w:after="0" w:line="18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To date, we have invested substantial resources in an exclusive license with Albert Einstein College of Medicine, or Einstein, that forms the foundation for certain of our drug product candidates and potential applications. For us to develop any products that might ultimately be commercialized, we will have to invest further time and capital in research and product development, regulatory compliance and market development. We and our licensor, prospective business partners and other collaborators may never develop any products that can be commercialized. All of our development efforts will require substantial additional funding, none of which may result in any commercial revenue. Our efforts may not lead to commercially successful products for a number of reasons, including:</w:t>
      </w:r>
    </w:p>
    <w:p>
      <w:pPr>
        <w:spacing w:after="0" w:line="147" w:lineRule="exact"/>
        <w:rPr>
          <w:sz w:val="20"/>
          <w:szCs w:val="20"/>
          <w:color w:val="auto"/>
        </w:rPr>
      </w:pPr>
    </w:p>
    <w:p>
      <w:pPr>
        <w:ind w:left="1140" w:right="12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licensor, prospective business partners and other collaborators may not be able to complete research regarding, and nonclinical and clinical development of, our drug product candidates;</w:t>
      </w:r>
    </w:p>
    <w:p>
      <w:pPr>
        <w:spacing w:after="0" w:line="134"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regulatory approvals and marketing authorizations may not be achieved for our drug product candidates, or the scope of the approved indication may be narrower than sought;</w:t>
      </w:r>
    </w:p>
    <w:p>
      <w:pPr>
        <w:spacing w:after="0" w:line="121"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and our licensor, prospective business partners and other collaborators may experience delays in our development programs, clinical trials and the regulatory approval process;</w:t>
      </w:r>
    </w:p>
    <w:p>
      <w:pPr>
        <w:spacing w:after="0" w:line="121"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technology may not prove to be safe and effective in clinical trials or preclinical studies and our drug product candidates may have adverse side effects which outweigh any potential benefit to patients;</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not be able to identify suitable collaborators to complete development or commercialization of our potential products;</w:t>
      </w:r>
    </w:p>
    <w:p>
      <w:pPr>
        <w:spacing w:after="0" w:line="184"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not be able to maintain, protect or expand our portfolio of intellectual property rights, including patents, trade secrets and know-how;</w:t>
      </w:r>
    </w:p>
    <w:p>
      <w:pPr>
        <w:spacing w:after="0" w:line="121" w:lineRule="exact"/>
        <w:rPr>
          <w:rFonts w:ascii="Times New Roman" w:cs="Times New Roman" w:eastAsia="Times New Roman" w:hAnsi="Times New Roman"/>
          <w:sz w:val="18"/>
          <w:szCs w:val="18"/>
          <w:color w:val="auto"/>
        </w:rPr>
      </w:pPr>
    </w:p>
    <w:p>
      <w:pPr>
        <w:ind w:left="1140" w:right="82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any future products that are ultimately approved by the FDA or other regulatory bodies may not be commercially accepted in the marketplace by physicians or patients;</w:t>
      </w:r>
    </w:p>
    <w:p>
      <w:pPr>
        <w:spacing w:after="0" w:line="134"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any future products that are ultimately approved by the FDA or other regulatory bodies may not be able to be manufactured in commercial quantities or at an acceptable cost;</w:t>
      </w:r>
    </w:p>
    <w:p>
      <w:pPr>
        <w:spacing w:after="0" w:line="121" w:lineRule="exact"/>
        <w:rPr>
          <w:rFonts w:ascii="Times New Roman" w:cs="Times New Roman" w:eastAsia="Times New Roman" w:hAnsi="Times New Roman"/>
          <w:sz w:val="18"/>
          <w:szCs w:val="18"/>
          <w:color w:val="auto"/>
        </w:rPr>
      </w:pPr>
    </w:p>
    <w:p>
      <w:pPr>
        <w:ind w:left="1140" w:right="56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physicians may not receive any reimbursement from third-party payors, or the level of reimbursement may be insufficient to support widespread adoption of any of our future products once approved by the FDA or other regulatory bodies; and</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rapid technological change may make our technology and drug product candidates obsolete.</w:t>
      </w:r>
    </w:p>
    <w:p>
      <w:pPr>
        <w:spacing w:after="0" w:line="200" w:lineRule="exact"/>
        <w:rPr>
          <w:sz w:val="20"/>
          <w:szCs w:val="20"/>
          <w:color w:val="auto"/>
        </w:rPr>
      </w:pPr>
    </w:p>
    <w:p>
      <w:pPr>
        <w:spacing w:after="0" w:line="21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Moreover, in July 2024, we determined to prioritize and strategically focus on our autoimmune programs, including CUE-401 and CUE-501, which are currently at a preclinical stage. In April 2025, we licensed differentiated B cell depletion molecules, including CUE-501, to Boehringer Ingelheim International GmbH, or BI, for research, development and commercialization and in November 2025, we licensed molecules from our CUE-100 series, including CUE-101 and CUE-102, to ImmunoScape Pte. Ltd., or IMSCP, for research, development and commercialization in oncology indications. There can be no assurances that any of these programs covered by our existing or any future collaborations or licenses will be developed further or reach commercialization. We plan to continue to seek third party support through partnerships and collaborations, or alternative funding structures and there is no guarantee that we will be able to do so on favorable terms or at all.</w:t>
      </w:r>
    </w:p>
    <w:p>
      <w:pPr>
        <w:spacing w:after="0" w:line="14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substantially dependent on the success of our drug product candidates, and significant additional research and development and clinical testing will be required before we can potentially seek regulatory approval for or commercialize any of our drug product candidates.</w:t>
      </w:r>
    </w:p>
    <w:p>
      <w:pPr>
        <w:spacing w:after="0" w:line="186"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Our drug product candidates, including CUE-401 and CUE-501, are all at a preclinical stage. In April 2025, we licensed differentiated B cell depletion molecules, including CUE-501, to BI for research, development and commercialization and in November 2025, we licensed molecules from our CUE-100 series, including CUE-101 and CUE-102, to IMSCP for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2" w:name="page43"/>
    <w:bookmarkEnd w:id="42"/>
    <w:p>
      <w:pPr>
        <w:spacing w:after="0" w:line="253" w:lineRule="auto"/>
        <w:rPr>
          <w:sz w:val="20"/>
          <w:szCs w:val="20"/>
          <w:color w:val="auto"/>
        </w:rPr>
      </w:pPr>
      <w:r>
        <w:rPr>
          <w:rFonts w:ascii="Times New Roman" w:cs="Times New Roman" w:eastAsia="Times New Roman" w:hAnsi="Times New Roman"/>
          <w:sz w:val="18"/>
          <w:szCs w:val="18"/>
          <w:color w:val="auto"/>
        </w:rPr>
        <w:t>research, development and commercialization in oncology indications, in combination with a cell therapy product. We retained the rights to the CUE-100 series, including CUE-101 and CUE-102, for use in any manner other than as a component of a cell therapy product for 18 months past the effective date of the IMSCP license. Even though we entered into collaborations to develop differentiated B cell depletion molecules and the CUE-100 series, we expect that additional trials of these product candidates will be required in order to gain approval from the FDA. Therefore, significant additional research and development activity and clinical testing are required before we and our collaborators will have a chance to achieve a commercially viable product from CUE-101, CUE-102, CUE-401, CUE-501 or our other drug product candidates. Our research and development efforts remain subject to all of the risks associated with the development of new biopharmaceutical products and treatments based on immune modulation. Development of the underlying technology may be affected by unanticipated technical or other problems, among other research and development issues, and the possible insufficiency of funds needed in order to complete development of these drug product candidates. Safety, regulatory and efficacy issues, clinical hurdles or other challenges may result in delays and cause us to incur additional expenses that would increase our losses. If we and our collaborators cannot complete, or if we experience significant delays in developing, our potential drug product candidates or products for use in potential commercial applications, particularly after incurring significant expenditures, our business may fail and investors may lose the entirety of their investment.</w:t>
      </w:r>
    </w:p>
    <w:p>
      <w:pPr>
        <w:spacing w:after="0" w:line="21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conducting clinical trials and no history of commercializing biologic products, which may make it difficult to evaluate the prospects for our future viability.</w:t>
      </w:r>
    </w:p>
    <w:p>
      <w:pPr>
        <w:spacing w:after="0" w:line="186"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Our operations to date have been limited to financing and staffing our company, conducting research and developing our core technologies, and identifying and optimizing our lead drug product candidates. Additionally, we have conducted limited clinical testing of two of our drug product candidates. Although we have recruited a team that has experience with clinical trials in the United States, as a company, we have limited experience conducting clinical trials and have not had previous experience commercializing drug product candidates or submitting a Biologic License Application, or BLA, to the FDA or similar submissions to initiate clinical trials or obtain marketing authorization to foreign regulatory authorities. We cannot be certain that our current or any future clinical trials will begin or be completed on time, if at all, or that our planned development programs would be acceptable to the FDA or other regulatory authorities, or that, if regulatory approval is obtained, our drug product candidates can be successfully commercialized. Clinical trials and commercializing our drug product candidates will require significant additional financial and management resources, and reliance on third-party clinical investigators, contract research organizations, or CROs, contract manufacturing organization, or CMOs, consultants and collaborators. Relying on third-party clinical investigators, CROs, CMOs or collaborators may result in delays that are outside of our control.</w:t>
      </w:r>
    </w:p>
    <w:p>
      <w:pPr>
        <w:spacing w:after="0" w:line="221"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drug product candidates, including:</w:t>
      </w:r>
    </w:p>
    <w:p>
      <w:pPr>
        <w:spacing w:after="0" w:line="135" w:lineRule="exact"/>
        <w:rPr>
          <w:sz w:val="20"/>
          <w:szCs w:val="20"/>
          <w:color w:val="auto"/>
        </w:rPr>
      </w:pPr>
    </w:p>
    <w:p>
      <w:pPr>
        <w:ind w:left="1140" w:right="18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IND-enabling studies, clinical trials or the clinical trials of other drug product candidates similar to ours, leading to a decision or requirement to conduct additional preclinical testing or clinical trials or abandon a program;</w:t>
      </w:r>
    </w:p>
    <w:p>
      <w:pPr>
        <w:spacing w:after="0" w:line="134"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submitting INDs or comparable foreign applications or delays or failure in obtaining the necessary approvals from regulators to commence a clinical trial, or a suspension or termination of a clinical trial once commenced;</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conditions imposed by the FDA or a foreign regulatory authority regarding the number, scope or design of our clinical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enrolling patients in clinical trials;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high drop-out rates of patients;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inadequate supply or quality of clinical trial materials or other supplies necessary to conduct our clinical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greater than anticipated clinical trial costs;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poor effectiveness or unacceptable side effects of our drug product candidates during clinical trials;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3" w:name="page44"/>
    <w:bookmarkEnd w:id="43"/>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unfavorable FDA or other regulatory agency inspection and review of a clinical trial site;</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CROs, CMOs, and clinical investigators;</w:t>
      </w:r>
    </w:p>
    <w:p>
      <w:pPr>
        <w:spacing w:after="0" w:line="184"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of our third-party contractors or investigators to comply with regulatory requirements or otherwise meet their contractual obligations in a timely manner, or at all;</w:t>
      </w:r>
    </w:p>
    <w:p>
      <w:pPr>
        <w:spacing w:after="0" w:line="121"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serious and unexpected drug-related side effects or other safety issues experienced by participants in our clinical trials or by individuals using drugs similar to our drug product candidates;</w:t>
      </w:r>
    </w:p>
    <w:p>
      <w:pPr>
        <w:spacing w:after="0" w:line="134"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and changes in regulatory requirements, policy and guidelines, including the imposition of additional regulatory oversight around clinical testing generally or with respect to our technology in particular; or</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varying interpretations of data by the FDA and foreign regulatory authorities.</w:t>
      </w:r>
    </w:p>
    <w:p>
      <w:pPr>
        <w:spacing w:after="0" w:line="33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policies of the FDA and other regulatory authorities with respect to clinical trials may change and additional government regulations may be enacted. For example, in December 2022, with the passage of the Food and Drug Omnibus Reform Act, or FDORA, Congress required sponsors to develop and submit a diversity action plan, or DAP, for each Phase 3 clinical trial or any other “pivotal study” of a new drug or biological product. These plans are meant to encourage the enrollment of more diverse patient populations in late-stage clinical trials of FDA-regulated products. Specifically, action plans must include the sponsor’s goals for enrollment, the underlying rationale for those goals, and an explanation of how the sponsor intends to meet them. In addition to these requirements, the legislation directed the FDA to issue new guidance on DAPs. In June 2024,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On January 27, 2025, in response to an Executive Order issued by President Trump on January 21, 2025, on Diversity, Equity and Inclusion programs, the FDA removed this draft guidance from its website. That action, along with similar actions by the Trump Administration to remove many other healthcare webpages, is currently the subject of ongoing litigation. On July 3, 2025, the U.S. District Court for the District of Columbia ruled that the Trump Administration’s actions to remove these webpages, including the draft DAP guidance, is unlawful under the Administrative Procedure Act, or the APA. The court ordered the restoration of many of these webpages. In late July 2025,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DAPs in connection with its review of NDAs and BLAs.</w:t>
      </w:r>
    </w:p>
    <w:p>
      <w:pPr>
        <w:spacing w:after="0" w:line="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Similarly, the regulatory landscape related to clinical trials in the EU recently evolved.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slow or unable to adapt to changes in existing requirements or the adoption of new requirements or policies governing clinical trials, our development plans may be impacted.</w:t>
      </w:r>
    </w:p>
    <w:p>
      <w:pPr>
        <w:spacing w:after="0" w:line="29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any future clinical trials or those of our collaborators may reveal significant adverse events, toxicities or other side effects not seen in our preclinical studies and may result in a safety profile that could inhibit or prevent regulatory approval or market acceptance of any of our drug product candidates.</w:t>
      </w:r>
    </w:p>
    <w:p>
      <w:pPr>
        <w:spacing w:after="0" w:line="6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order to obtain marketing approval for any of our biologic drug product candidates, we must demonstrate the safety, purity, and efficacy of the product candidate for the relevant clinical indication or indications through preclinical studies and clinical trials as well as additional supporting data. If our drug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44" w:name="page45"/>
    <w:bookmarkEnd w:id="44"/>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have completed Phase 1 clinical trials for our most advanced clinical stage asset, CUE-101, and a Phase 1 clinical trial for CUE-102, but otherwise we have not conducted any clinical trials. We have conducted various preclinical studies of our drug product candidates, but we do not know the predictive value of these studies for humans, and we cannot guarantee that any positive results in preclinical studies will successfully translate to human patients. It is not uncommon to observe results in human clinical trials that are unexpected based on preclinical testing, and many drug product candidates fail in clinical trials despite promising preclinical results. Moreover, preclinical and clinical data are often susceptible to varying interpretations and analyses, and many companies that have believed their drug product candidates performed satisfactorily in preclinical studies and clinical trials have nonetheless failed to obtain marketing approval for their products. Human patients in clinical trials may suffer significant adverse events or other side effects not observed in our preclinical studies, including, but not limited to, immunogenic responses, organ toxicities such as liver, heart or kidney or other tolerability issues or possibly even death. The observed potency and kinetics of our drug product candidates in preclinical studies may not be observed in human clinical trials. If clinical trials of our drug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drug product candidates.</w:t>
      </w:r>
    </w:p>
    <w:p>
      <w:pPr>
        <w:spacing w:after="0" w:line="21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If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may suspend clinical trials of a product candidate at any time for various reasons, including a belief that subjects in such trials are being exposed to unacceptable health risks or adverse side effects. Some potential therapeutics developed in the pharmaceutical and biotechnology industries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as compared to other therapies. Any of these developments could materially harm our business, financial condition and prospects.</w:t>
      </w:r>
    </w:p>
    <w:p>
      <w:pPr>
        <w:spacing w:after="0" w:line="192"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Further, if any of our drug product candidates obtains marketing approval, toxicities associated with our drug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drug product candidates will cause toxicities in humans that would preclude or lead to the revocation of regulatory approval based on preclinical studies or clinical testing. However, any such event, were it to occur, would cause substantial harm to our business and financial condition and would result in the diversion of our management’s attention.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early clinical trials may not be indicative of results obtained in later trials.</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Results from preclinical studies or early clinical trials are not necessarily predictive of future clinical trial results, and interim results of a clinical trial are not necessarily indicative of final results. Our drug product candidates may fail to show the desired safety and efficacy in clinical development despite demonstrating positive results in preclinical studies or having successfully advanced through initial clinical trials or preliminary stages of clinical trials. There can be no assurance that the results seen in preclinical studies for any of our drug product candidates ultimately will result in success in clinical trials or that results seen in Phase 1 or 2 trials will be replicated in Phase 3 trials.</w:t>
      </w:r>
    </w:p>
    <w:p>
      <w:pPr>
        <w:spacing w:after="0" w:line="143"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There is a high failure rate for drugs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or requirements during the period of our drug product candidate development. Any such delays could materially and adversely affect our business, financial condition, results of operations and prospects.</w:t>
      </w:r>
    </w:p>
    <w:p>
      <w:pPr>
        <w:spacing w:after="0" w:line="21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continue to seek collaborations or strategic alliances. However, we may not be able to establish such relationships, and relationships we have established may not provide the expected benefits.</w:t>
      </w:r>
    </w:p>
    <w:p>
      <w:pPr>
        <w:spacing w:after="0" w:line="145"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On November 6, 2018, we entered into a Collaboration, License and Option Agreement, as amended from time to time, or the LG Chem Collaboration Agreement, with LG Chem Ltd., or LG Chem, for the development of CUE-101 and CUE-102 Immuno-STATs. Pursuant to the LG Chem Collaboration Agreement, we have granted certain exclusive license rights to LG Chem in Australia and in certain countries in Asia and LG Chem has agreed to provide certain services to us and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ind w:right="440"/>
        <w:spacing w:after="0" w:line="282" w:lineRule="auto"/>
        <w:rPr>
          <w:sz w:val="20"/>
          <w:szCs w:val="20"/>
          <w:color w:val="auto"/>
        </w:rPr>
      </w:pPr>
      <w:r>
        <w:rPr>
          <w:rFonts w:ascii="Times New Roman" w:cs="Times New Roman" w:eastAsia="Times New Roman" w:hAnsi="Times New Roman"/>
          <w:sz w:val="18"/>
          <w:szCs w:val="18"/>
          <w:color w:val="auto"/>
        </w:rPr>
        <w:t>to make payments to us that include licensing fees, milestone payments and sales royalties. This agreement does not commit LG Chem to a long-term relationship, and LG Chem may disengage with us at any time.</w:t>
      </w:r>
    </w:p>
    <w:p>
      <w:pPr>
        <w:spacing w:after="0" w:line="16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furtherance of pursuing strategic options pertaining to CUE-101, on March 11, 2025, we regained our rights to the LG Chem Territory for the CUE-101 program, which had previously been licensed to LG Chem, and LG Chem terminated all of its rights to the same program. We also agreed to make future payments to LG Chem, if and when one or more potential scenarios related to the CUE-101 program occur, up to a predetermined aggregate amount. LG Chem continues to maintain its interest and rights in the CUE-102 program, targeting WT1 expressing cancers, pursuant to the LG Chem Collaboration Agreement.</w:t>
      </w:r>
    </w:p>
    <w:p>
      <w:pPr>
        <w:spacing w:after="0" w:line="183"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On February 22, 2023, we entered into a strategic collaboration agreement, or the Ono Collaboration and Option Agreement, with Ono Pharmaceutical Co., Ltd., or Ono, to further develop CUE-401 and provide dedicated resources and capabilities to help advance CUE-401 toward the clinic. On March 11, 2025, we and Ono agreed to terminate the Ono Collaboration and Option Agreement, effective as of March 6, 2025 . Effective upon termination, we regained worldwide development and commercialization rights for CUE-401 from Ono. At such time, the agreement had no further force or effect with the exception of certain customary provisions which were intended to survive termination and expiration of the agreement.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July 2024, we determined to prioritize and strategically focus on our autoimmune programs, including CUE-401 and CUE-501.</w:t>
      </w:r>
    </w:p>
    <w:p>
      <w:pPr>
        <w:spacing w:after="0" w:line="225"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17"/>
          <w:szCs w:val="17"/>
          <w:color w:val="auto"/>
        </w:rPr>
        <w:t>On April 10, 2025, we entered into a Collaboration and License Agreement, or the BI Collaboration and License Agreement, with BI to research, develop and commercialize differentiated B cell depletion molecules, including CUE-501. Under the terms of the BI Collaboration and License Agreement, we and BI will conduct collaborative research focused on CUE-501 during a four-year period or, if earlier, the completion of activities under the research plans, or the BI Research Term. In addition to, or instead of, CUE-501, BI may elect, at its sole discretion, to include additional or alternative compounds targeted at B cell depletion. BI will have an exclusive, royalty-bearing, worldwide, sublicensable license, under our applicable patents and know-how, to develop, manufacture and commercialize such compounds and their derivatives, or BI Licensed Products, for all uses, and BI shall be responsible for all further research, preclinical and clinical development, manufacturing, regulatory approvals, and commercialization of BI Licensed Products at its expense. During the BI Research Term, we are prohibited from developing or commercializing any molecule for applications in B cell depletion.</w:t>
      </w:r>
    </w:p>
    <w:p>
      <w:pPr>
        <w:spacing w:after="0" w:line="17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And lastly, on November 6, 2025, IMSCP exercised its option to obtain licenses to research, develop and commercialize molecules from the CUE-100 series, including CUE-101 and CUE-102, subject to certain exclusions, for all oncology indications pursuant to a Collaboration and License Agreement, effective November 6, 2025, between us and IMSCP, or the IMSCP Collaboration and License Agreement. The licenses provided pursuant to the IMSCP Collaboration and License Agreement include a co-exclusive development license for five years or, if longer, for so long as IMSCP has a specified number of CUE-100 series molecules under active development and, pursuant to which, we retain non-exclusive research rights to support our other programs, or the co-exclusive development license. We also retained our rights to the CUE-100 series, including CUE-101 and CUE-102, for use in any manner other than as a component of a cell therapy product for 18 months past the effective date of the IMSCP Collaboration and License Agreement. The licenses include an exclusive commercial license to IMSCP for any CUE-100 series molecule that IMSCP advances to IND-enabling studies while the co-exclusive development license is in effect. The licensed series of molecules will be further developed and potentially commercialized by IMSCP.</w:t>
      </w:r>
    </w:p>
    <w:p>
      <w:pPr>
        <w:spacing w:after="0" w:line="18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plan to continue to seek additional strategic alliances or collaborations with other third parties that we believe will complement or augment our development and commercialization efforts with respect to our drug product candidates and any future drug product candidates that we may develop. In addition, we currently do not have sales, marketing, manufacturing or distribution capabilities or arrangements. In order to commercialize our potential products, we plan to seek development and marketing partners or sublicensees to obtain necessary marketing, manufacturing and distribution capabilities.</w:t>
      </w:r>
    </w:p>
    <w:p>
      <w:pPr>
        <w:spacing w:after="0" w:line="18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Any of these relationships may require us to incur non-recurring and other charges, give up certain rights relating to our intellectual property and research and development activities, increase our near and long-term expenditures, issue securities that dilute our existing stockholders, issue debt which may require liens on our assets and which will increase our monthly expense obligations, or disrupt our management and business. Moreover, we may not be successful in our efforts to establish additional strategic partnerships or collaborations for our drug product candidates because they may be deemed to be at too early of a stage of development for collaborative effort and third parties may not view our drug product candidates as having the requisite clinical and/or commercial potential based on current or future demonstrated safety, purity, and efficacy. If we are unable to maintain existing strategic partnerships or collaborations, or establish additional strategic partnerships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6" w:name="page47"/>
    <w:bookmarkEnd w:id="46"/>
    <w:p>
      <w:pPr>
        <w:ind w:right="500"/>
        <w:spacing w:after="0" w:line="282" w:lineRule="auto"/>
        <w:rPr>
          <w:sz w:val="20"/>
          <w:szCs w:val="20"/>
          <w:color w:val="auto"/>
        </w:rPr>
      </w:pPr>
      <w:r>
        <w:rPr>
          <w:rFonts w:ascii="Times New Roman" w:cs="Times New Roman" w:eastAsia="Times New Roman" w:hAnsi="Times New Roman"/>
          <w:sz w:val="18"/>
          <w:szCs w:val="18"/>
          <w:color w:val="auto"/>
        </w:rPr>
        <w:t>collaborations, to develop our drug product candidates, the costs for us to independently develop our drug product candidates may be higher than we currently anticipate, which could materially harm our business prospects, financial condition and results of operation.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Further, collaborations involving our drug product candidates are subject to numerous risks, which may include the following:</w:t>
      </w:r>
    </w:p>
    <w:p>
      <w:pPr>
        <w:spacing w:after="0" w:line="252" w:lineRule="exact"/>
        <w:rPr>
          <w:sz w:val="20"/>
          <w:szCs w:val="20"/>
          <w:color w:val="auto"/>
        </w:rPr>
      </w:pPr>
    </w:p>
    <w:p>
      <w:pPr>
        <w:ind w:left="1140" w:right="56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have significant discretion in determining the efforts and resources that they will apply to our collaboration as compared to their other then-existing collaborations;</w:t>
      </w:r>
    </w:p>
    <w:p>
      <w:pPr>
        <w:spacing w:after="0" w:line="188" w:lineRule="exact"/>
        <w:rPr>
          <w:rFonts w:ascii="Times New Roman" w:cs="Times New Roman" w:eastAsia="Times New Roman" w:hAnsi="Times New Roman"/>
          <w:sz w:val="18"/>
          <w:szCs w:val="18"/>
          <w:color w:val="auto"/>
        </w:rPr>
      </w:pPr>
    </w:p>
    <w:p>
      <w:pPr>
        <w:ind w:left="1140" w:right="60" w:hanging="383"/>
        <w:spacing w:after="0" w:line="261"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not pursue development and commercialization of our drug product candidates or may not elect to continue or renew development or commercialization of our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79"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ind w:left="1140" w:right="38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could independently develop, or develop with third parties, products that compete directly or indirectly with our drug product candidates;</w:t>
      </w:r>
    </w:p>
    <w:p>
      <w:pPr>
        <w:spacing w:after="0" w:line="161" w:lineRule="exact"/>
        <w:rPr>
          <w:rFonts w:ascii="Times New Roman" w:cs="Times New Roman" w:eastAsia="Times New Roman" w:hAnsi="Times New Roman"/>
          <w:sz w:val="18"/>
          <w:szCs w:val="18"/>
          <w:color w:val="auto"/>
        </w:rPr>
      </w:pPr>
    </w:p>
    <w:p>
      <w:pPr>
        <w:ind w:left="1140" w:right="36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 marketing and distribution of each of our potential products;</w:t>
      </w:r>
    </w:p>
    <w:p>
      <w:pPr>
        <w:spacing w:after="0" w:line="161" w:lineRule="exact"/>
        <w:rPr>
          <w:rFonts w:ascii="Times New Roman" w:cs="Times New Roman" w:eastAsia="Times New Roman" w:hAnsi="Times New Roman"/>
          <w:sz w:val="18"/>
          <w:szCs w:val="18"/>
          <w:color w:val="auto"/>
        </w:rPr>
      </w:pPr>
    </w:p>
    <w:p>
      <w:pPr>
        <w:ind w:left="1140" w:right="340" w:hanging="383"/>
        <w:spacing w:after="0" w:line="289"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collaborators may not properly maintain or defend our intellectual property rights in accordance with the terms of our contractual arrangements with them or may use our intellectual property or proprietary information in a way that gives rise to actual or threatened litigation that could jeopardize or invalidate our intellectual property or proprietary information or expose us to other potential liability;</w:t>
      </w:r>
    </w:p>
    <w:p>
      <w:pPr>
        <w:spacing w:after="0" w:line="157" w:lineRule="exact"/>
        <w:rPr>
          <w:rFonts w:ascii="Times New Roman" w:cs="Times New Roman" w:eastAsia="Times New Roman" w:hAnsi="Times New Roman"/>
          <w:sz w:val="17"/>
          <w:szCs w:val="17"/>
          <w:color w:val="auto"/>
        </w:rPr>
      </w:pPr>
    </w:p>
    <w:p>
      <w:pPr>
        <w:ind w:left="1140" w:right="80" w:hanging="383"/>
        <w:spacing w:after="0" w:line="312"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us and a collaborator that cause the delay or termination of the research, development or commercialization of our drug product candidates, or that result in costly litigation or arbitration that diverts our management's attention and our other resources;</w:t>
      </w:r>
    </w:p>
    <w:p>
      <w:pPr>
        <w:spacing w:after="0" w:line="139" w:lineRule="exact"/>
        <w:rPr>
          <w:rFonts w:ascii="Times New Roman" w:cs="Times New Roman" w:eastAsia="Times New Roman" w:hAnsi="Times New Roman"/>
          <w:sz w:val="17"/>
          <w:szCs w:val="17"/>
          <w:color w:val="auto"/>
        </w:rPr>
      </w:pPr>
    </w:p>
    <w:p>
      <w:pPr>
        <w:ind w:left="1140" w:right="620" w:hanging="383"/>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have been, and in the future, additional collaborations may be, terminated and, if terminated, may result in a need for additional capital to pursue further development or commercialization of the applicable drug product candidates; and</w:t>
      </w:r>
    </w:p>
    <w:p>
      <w:pPr>
        <w:spacing w:after="0" w:line="161" w:lineRule="exact"/>
        <w:rPr>
          <w:rFonts w:ascii="Times New Roman" w:cs="Times New Roman" w:eastAsia="Times New Roman" w:hAnsi="Times New Roman"/>
          <w:sz w:val="18"/>
          <w:szCs w:val="18"/>
          <w:color w:val="auto"/>
        </w:rPr>
      </w:pPr>
    </w:p>
    <w:p>
      <w:pPr>
        <w:ind w:left="1140" w:right="60" w:hanging="383"/>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own or co-own intellectual property covering our potential products that results from our collaboration with them, and in such case, we would not have the exclusive right to commercialize such intellectual property without our collaborators’ involvement and consent.</w:t>
      </w:r>
    </w:p>
    <w:p>
      <w:pPr>
        <w:spacing w:after="0" w:line="13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a result, we may not be able to realize the benefit of collaboration agreements, strategic partnerships or licenses of our technology or potential products, which could delay our product development timelines or otherwise adversely affect our business. We also cannot be certain that, following a strategic transaction or license, we will achieve sufficient revenue, net income or other benefits to justify such transaction. Any delays in entering into new collaborations or strategic partnership agreements related to our drug product candidates could delay the development and commercialization of our drug product candidates, which would harm our business prospects, financial condition,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collaboration agreements with each of LG Chem and BI contain exclusivity provisions that restrict our research and development activities.</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have granted to LG Chem under the LG Chem Collaboration Agreement an exclusive license to develop, manufacture and commercialize CUE-102 in the LG Chem Territory. Under the LG Chem Collaboration Agreement, we will engineer the selected Immuno-STAT for up to three alleles, which are expected to include the predominant alleles in the LG Chem Territory, while LG Chem will establish a chemistry, manufacturing and controls, or CMC, process for the development and commercialization of Drug Product Candidates.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7" w:name="page48"/>
    <w:bookmarkEnd w:id="47"/>
    <w:p>
      <w:pPr>
        <w:ind w:firstLine="749"/>
        <w:spacing w:after="0" w:line="261" w:lineRule="auto"/>
        <w:rPr>
          <w:sz w:val="20"/>
          <w:szCs w:val="20"/>
          <w:color w:val="auto"/>
        </w:rPr>
      </w:pPr>
      <w:r>
        <w:rPr>
          <w:rFonts w:ascii="Times New Roman" w:cs="Times New Roman" w:eastAsia="Times New Roman" w:hAnsi="Times New Roman"/>
          <w:sz w:val="18"/>
          <w:szCs w:val="18"/>
          <w:color w:val="auto"/>
        </w:rPr>
        <w:t>We have granted to BI under the BI Collaboration and License Agreement an exclusive, royalty-bearing, worldwide, sublicensable license, under our applicable patents and know-how, to develop, manufacture and commercialize CUE-501, and any additional or alternative compounds targeted at B cell depletion compounds and their derivatives, for all uses. As such, during the BI Research Term, we are prohibited from developing or commercializing any molecule for applications in B cell depletion.</w:t>
      </w:r>
    </w:p>
    <w:p>
      <w:pPr>
        <w:spacing w:after="0" w:line="153"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These restrictions on our development, manufacturing, and commercialization activities could impact our ability to successfully develop certain drug product candidates, which could harm our future business prospects for commercializing drugs for those drug product candidates.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additional drug product candidates. Due to our limited resources and access to capital, we must prioritize the development of certain drug product candidates; these decisions may prove to be wrong and may adversely affect our business.</w:t>
      </w:r>
    </w:p>
    <w:p>
      <w:pPr>
        <w:spacing w:after="0" w:line="1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July 2024, we decided to strategically focus on our autoimmune programs, including CUE-401 and CUE-501.</w:t>
      </w:r>
    </w:p>
    <w:p>
      <w:pPr>
        <w:spacing w:after="0" w:line="198"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Although we may explore other therapeutic opportunities, in addition to the drug product candidates that we are currently developing, we may fail to identify successful drug product candidates for clinical development for a number of reasons. If we fail to identify additional potential drug product candidates, our business could be materially harmed.</w:t>
      </w:r>
    </w:p>
    <w:p>
      <w:pPr>
        <w:spacing w:after="0" w:line="135"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Research programs to pursue the development of our drug product candidates for additional indications and to identify new drug product candidates and disease targets require substantial technical, financial and human resources whether or not they are ultimately successful. Our research programs may initially show promise in identifying potential indications and/or drug product candidates, yet fail to yield results for clinical development for a number of reasons, including:</w:t>
      </w:r>
    </w:p>
    <w:p>
      <w:pPr>
        <w:spacing w:after="0" w:line="139"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indications and/or drug product candidates;</w:t>
      </w:r>
    </w:p>
    <w:p>
      <w:pPr>
        <w:spacing w:after="0" w:line="198"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key platform technology, Immuno-STAT Biologics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may not adequately enable us to design, discover and validate drug product candidates;</w:t>
      </w:r>
    </w:p>
    <w:p>
      <w:pPr>
        <w:spacing w:after="0" w:line="121"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 drug product candidates may, after further study, be shown to have harmful adverse effects or other characteristics that indicate they are unlikely to be effective drugs; or</w:t>
      </w:r>
    </w:p>
    <w:p>
      <w:pPr>
        <w:spacing w:after="0" w:line="121" w:lineRule="exact"/>
        <w:rPr>
          <w:rFonts w:ascii="Times New Roman" w:cs="Times New Roman" w:eastAsia="Times New Roman" w:hAnsi="Times New Roman"/>
          <w:sz w:val="18"/>
          <w:szCs w:val="18"/>
          <w:color w:val="auto"/>
        </w:rPr>
      </w:pPr>
    </w:p>
    <w:p>
      <w:pPr>
        <w:ind w:left="1140" w:right="420" w:hanging="383"/>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it may take greater human and financial resources than we possess to identify additional therapeutic opportunities for our drug product candidates or to develop suitable potential drug product candidates through internal research programs, thereby limiting our ability to develop, diversify and expand our drug portfolio.</w:t>
      </w:r>
    </w:p>
    <w:p>
      <w:pPr>
        <w:spacing w:after="0" w:line="14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human resources, we intend to initially focus on research programs and drug product candidates for a limited set of indications. As a result, we may forego or delay pursuit of opportunities with other drug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3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Accordingly, there can be no assurance that we will ever be able to identify additional therapeutic opportunities for our drug product candidates or to develop suitable potential drug product candidates through internal research programs, which could materially adversely affect our future growth and prospects. We may focus our efforts and resources on potential drug product candidates or other potential programs that ultimately prove to be unsuccessful.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48" w:name="page49"/>
    <w:bookmarkEnd w:id="48"/>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 Our competitors may be able to develop other compounds or drugs that are able to achieve similar or better results than our drug product candidates.</w:t>
      </w:r>
    </w:p>
    <w:p>
      <w:pPr>
        <w:spacing w:after="0" w:line="134"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intense competition and rapid innovation. Our competitors may be able to develop other compounds or drugs that are able to achieve similar or better results than our drug product candidates. Our competitors may include major multinational pharmaceutical companies, established biotechnology companies, specialty pharmaceutical companies, and universities and other research institutions. Many of our competitors have substantially greater financial, technical and other resources than we have, such as a larger research and development staff and experienced marketing and manufacturing organizations, established relationships with CROs and other collaborators, as well as 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drug product candidates or may develop proprietary technologies or secure patent protection and, in turn, exclude us from technologies that we may need for the development of our technologies and potential products.</w:t>
      </w:r>
    </w:p>
    <w:p>
      <w:pPr>
        <w:spacing w:after="0" w:line="163"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Immunotherapy technologies are advancing at a rapid pace and we anticipate competing with companies developing cytokine-based therapies (e.g., Amgen, Bristol-Myers Squibb, Merck, Nektar Therapeutics, Sanofi S.A., TRex Bio and RegCell), regulatory T cell therapies (e.g., Coya Therapeutics, Quell Therapeutics, EVOQ Therapeutics, and Sonoma Biotherapeutics), many of which have significantly greater financial and other resources than we currently have.</w:t>
      </w:r>
    </w:p>
    <w:p>
      <w:pPr>
        <w:spacing w:after="0" w:line="13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Even if we obtain regulatory approval of any of our drug product candidates, we may not be the first to market, and that may negatively affect the price or demand for our drug product candidates. Additionally, we may not be able to implement our business plan if the acceptance of our drug product candidates is inhibited by price competition or the reluctance of physicians to switch from existing methods of treatment to our drug product candidates, or if physicians switch to other new drug or biologic products or choose to reserve our drug product candidates for use in limited circumstances. Furthermore, a competitor could obtain orphan product exclusivity from the FDA with respect to such competitor’s product. If such competitor product is determined to be the same product as one of our drug product candidates, we may be prevented from obtaining approval from the FDA for such product candidate for the same indication for seven years, except in limited circumstances, and we may be subject to similar restrictions under non-U.S. regulations.</w:t>
      </w:r>
    </w:p>
    <w:p>
      <w:pPr>
        <w:spacing w:after="0" w:line="14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or if we fail to recruit additional highly skilled personnel, our ability to identify and develop new or next generation drug product candidates will be impaired, could result in loss of markets or market share and could make us less competitive.</w:t>
      </w:r>
    </w:p>
    <w:p>
      <w:pPr>
        <w:spacing w:after="0" w:line="13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are highly dependent upon the principal members of our management team and other members of our scientific and clinical advisory team. Our team has significant experience and knowledge of oncology drug discovery and development, T cell modulation, protein biochemistry and immunological assays, and the loss of any current or future team member could impair our ability to design, identify, and develop new intellectual property and drug product candidates and new scientific or product ideas. Additionally, if we lose the services of any of these persons, we would likely be forced to expend significant time and money in the pursuit of replacements, which may result in a delay in the development of our drug product candidates and the implementation of our business plan and plan of operations and diversion of our management’s attention. We can give no assurance that we could find satisfactory replacements for our current and future key scientific and management employees on terms that would not be unduly expensive or burdensome to us.</w:t>
      </w:r>
    </w:p>
    <w:p>
      <w:pPr>
        <w:spacing w:after="0" w:line="21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To induce valuable personnel to remain at our company, in addition to salary and cash incentives, we have granted stock options and restricted stock units that vest over time.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these employees could leave our employment at any time, for or without cause.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and scientific personnel.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9" w:name="page50"/>
    <w:bookmarkEnd w:id="49"/>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used by third-party CROs, manufacturers or other contractors or consultants, may fail or suffer security breaches.</w:t>
      </w:r>
    </w:p>
    <w:p>
      <w:pPr>
        <w:spacing w:after="0" w:line="18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future CROs, manufacturers and other contractors and consultants are vulnerable to damage from computer viruses, unauthorized access, natural disasters, terrorism, war and telecommunication and electrical failures, cyberattacks or cyber-intrusions, loss of funds or information from phishing or other fraudulent schemes, attachments to emails, persons inside our organization, or persons with access to systems inside our organization or those with whom we do business.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Increased security threats and more sophisticated cybercrimes and cyberattacks pose a potential risk to the security and availability of our internal computer systems, networks and services, including those used by third-party CROs, manufacturers or other contractors or consultants, as well as the confidentiality, availability and integrity of our data and the data of potential trial participants or patients, employees and others. Although to our knowledge we have not experienced any such material system failure or security breach to date, if such an event were to occur, it could result in a material disruption of our development programs and our business operations.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(such as individually identifiable health information), we could incur significant liabilities and the further development and commercialization of our drug product candidates could be delayed. In addition, the foreign, federal and state regulatory environment surrounding information security and privacy is increasingly demanding, with frequent imposition of new and changing requirements. Compliance with changes in privacy and information security laws and standards may result in significant expense due to increased investment in technology and the development of new operational processes.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and uncertainty surrounding U.S. and international trade policies may adversely impact our business and operating results.</w:t>
      </w:r>
    </w:p>
    <w:p>
      <w:pPr>
        <w:spacing w:after="0" w:line="22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the spring of 2025, the U.S. government initiated a series of tariff-related actions against U.S. trading partners. On April 2, 2025, an executive order announced a “baseline” reciprocal tariff of 10% on all U.S. trading partners effective April 5, 2025, and higher individualized reciprocal tariffs on 57 countries (with certain product exemptions for pharmaceutical-related products, among others). Previously, the U.S. government had imposed a 25% tariff on Canada and Mexico for goods not covered by the United States-Mexico-Canada Agreement, or USMCA, and tariffs due to drug trafficking equaling 20% on imports from China. In response, several countries threatened retaliatory measures, including Canada and China, which then imposed retaliatory tariffs. Prior to when the country-specific reciprocal tariffs were scheduled to take effect, the U.S. delayed the effective date of such tariffs for all countries except China to August 1, 2025. Later, the United States and China reached a framework agreement that ultimately resulted in the suspension of the higher reciprocal tariffs on China until November 10, 2025. Shortly before that expiration date, the United States and China reached a one-year agreement with an expiration of November 10, 2026, that includes the continued suspension of the heightened reciprocal tariffs on China and delayed enforcement of new U.S. export rules targeting affiliates of blacklisted firms.</w:t>
      </w:r>
    </w:p>
    <w:p>
      <w:pPr>
        <w:spacing w:after="0" w:line="194"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Since the April reciprocal tariffs announcement, the EU, Japan, South Korea, Switzerland and the United Kingdom, among others, have reached deals with the U.S. that include reduced tariff rates to varying levels and other measures. On July 31, 2025, the U.S. administration issued an executive order detailing new reciprocal tariff rates for individual countries that took effect on August 7, 2025. The deals with the EU, Japan, South Korea, Switzerland (and Liechtenstein), the UK and others cap pharmaceutical tariffs at 15%. In addition, an agreement with Malaysia provides a zero percent tariff exemption for pharmaceutical products that are not patented in the United States and are used in pharmaceutical applications, and an agreement with Switzerland and Lichenstein caps tariffs on pharmaceuticals imported from those two countries at 15%. Finally, an agreement with Taiwan concluded on January 15, 2026 eliminates tariffs on generic pharmaceuticals and their active ingredients imported from Taiwan.</w:t>
      </w:r>
    </w:p>
    <w:p>
      <w:pPr>
        <w:spacing w:after="0" w:line="18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reciprocal tariffs and the fentanyl tariffs were imposed pursuant to the International Emergency Economic Powers Act, or IEEPA. These tariffs were found to be unconstitutional by multiple federal courts in the spring and summer of 2025. On February 20, 2026, the Supreme Court held that IEEPA does not authorize the President to impose tariffs, invalidating both the reciprocal tariffs and the drug trafficking tariffs. Shortly thereafter, the President issued a new Executive Order revoking the IEEPA tariffs, and Customs and Border Protection ceased collecting the tariffs as of 12:01 a.m. on February 24, 2026. At the same time, however, the Trump Administration imposed a new 10% global tariff under Section 122 of the Trade Act of 1974, effective February 24, 2026. Pursuant to the statute, absent an extension by Congress, these tariffs will expire in 150 days 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50" w:name="page51"/>
    <w:bookmarkEnd w:id="50"/>
    <w:p>
      <w:pPr>
        <w:ind w:right="1120"/>
        <w:spacing w:after="0" w:line="282" w:lineRule="auto"/>
        <w:rPr>
          <w:sz w:val="20"/>
          <w:szCs w:val="20"/>
          <w:color w:val="auto"/>
        </w:rPr>
      </w:pPr>
      <w:r>
        <w:rPr>
          <w:rFonts w:ascii="Times New Roman" w:cs="Times New Roman" w:eastAsia="Times New Roman" w:hAnsi="Times New Roman"/>
          <w:sz w:val="18"/>
          <w:szCs w:val="18"/>
          <w:color w:val="auto"/>
        </w:rPr>
        <w:t>July 24, 2026. For those countries that have concluded trade deals with the United States, the tariff rates agreed to – including with regard to pharmaceuticals and pharmaceutical ingredients – have now reverted to 10% until July 24, 2026.</w:t>
      </w:r>
    </w:p>
    <w:p>
      <w:pPr>
        <w:spacing w:after="0" w:line="16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Like the IEEPA tariffs, pharmaceuticals and pharmaceutical ingredients are exempt from the Section 122 tariffs along with a list of other products. The administration has announced that it also plans to initiate new investigations on “most major trading partners” under Section 301 of the same act, which will likely lead to additional tariffs.</w:t>
      </w:r>
    </w:p>
    <w:p>
      <w:pPr>
        <w:spacing w:after="0" w:line="176"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Neither the Supreme Court’s decision nor the Executive Order revoking the IEEPA tariffs addressed refunds, leaving the issue to renewed proceedings before the U.S. Court of International Trade, where importers may need to pursue administrative remedies and/or litigation amid continued uncertainty.</w:t>
      </w:r>
    </w:p>
    <w:p>
      <w:pPr>
        <w:spacing w:after="0" w:line="17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Sustained uncertainty about, or the further escalation of, trade and political tensions between the United States and China could result in a disadvantageous research and manufacturing environment in China, particularly for U.S.-based companies, including retaliatory restrictions that hinder or potentially inhibit our ability to rely on CMOs and other service providers that operate in China.</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Separately, in April 2025, the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and key starting materials, and derivative products of those items. On September 25, 2025, the U.S. administration announced that, beginning October 1, 2025, all branded or patented drugs imported in the U.S. would face a 100% tariff. At the same time, the administration indicated that these tariffs could be avoided by building pharmaceutical manufacturing facilities in the U.S. Thereafter, the administration delayed the October 1, 2025 effective date of the tariffs on branded or patented pharmaceutical products announcing that the administration had now “begun preparing” tariffs on manufacturers that do not build in the U.S. or enter into a most-favored-nation drug pricing agreement with the administration.</w:t>
      </w:r>
    </w:p>
    <w:p>
      <w:pPr>
        <w:spacing w:after="0" w:line="192"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As a result of changes in tariffs that have been announced and/or implemented, and the underlying uncertainty currently surrounding international trade, we could experience a negative impact to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research,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192"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Further, some of our collaborators and suppliers are located in China. Trade tensions and conflicts between the United States and China have been escalated in recent years and, as such, we are exposed to the possibility of product supply disruption and increased costs and expenses in the event of changes to the laws, rules, regulations and policies of the governments of the United States or China, or due to geopolitical unrest and unstable economic conditions.</w:t>
      </w:r>
    </w:p>
    <w:p>
      <w:pPr>
        <w:spacing w:after="0" w:line="180"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For example, in February 2024, U.S. lawmakers called for investigations into and the imposition of possible economic sanctions against Chinese biotechnology companies WuXi AppTec and WuXi Biologics over alleged ties to the Chinese military. Subsequently, in December 2025, as part of the Fiscal Year 2026 National Defense Authorization Act, President Trump signed into law the BIOSECURE Act. Under the Act, US government agencies cannot (1) buy or obtain biotechnology equipment or services provided by biotechnology companies of concern (“BCCs”); (2) enter into, extend, or renew a contract with any entity using biotechnology equipment or services provided by a BCC to perform a government contract; or (3) expend loan or grant funds for biotechnology equipment or services provided by a BCC, whether directly or through a loan or grant recipient. The Act does not name specific companies as BCCs but treats any company on the Department of Defense 1260H list of “Chinese military companies” as a BCC.</w:t>
      </w:r>
    </w:p>
    <w:p>
      <w:pPr>
        <w:spacing w:after="0" w:line="18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On December 18, 2025, the Chairs of multiple Senate and House committees, including the House Select Committee on China, sent a letter to the Department of Defense recommending that WuXi AppTec, WuXi Biologics, and WuXi XDC be added to the 1260H list, which would make all of those entities BCCs. The 1260H list was updated by the Department of Defense in January 2024 and January 2025. On February 13, 2026, the Department of Defense published an updated list, which included WuXi AppTec but then abruptly withdrew the list. The implications of this action remain unclear.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1" w:name="page52"/>
    <w:bookmarkEnd w:id="51"/>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could adversely affect our business and financial condition.</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Inflation Reduction Act, or IRA, was signed into law in August 2022, and the One Big Beautiful Bill Act, or OBBBA, was signed into law in July 2025. The IRA introduced new tax provisions, including a one percent excise tax imposed on certain stock repurchases by publicly traded companies. The one percent excise tax generally applies to any acquisition of stock by the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 The OBBBA contains numerous tax provisions that we are currently in the process of evaluating, and which may significantly affect our business or financial condition.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 Regulatory guidance under the IRA,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w:t>
      </w:r>
    </w:p>
    <w:p>
      <w:pPr>
        <w:spacing w:after="0" w:line="18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 terrorism, other acts of violence, or natural or manmade disasters may affect the markets in which we operate, our patients and resources required in our research and development activities.</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Our business may be adversely affected by political instability, disruption or destruction in a geographic region in which we operate, regardless of cause, including war, terrorism, riot, civil insurrection or social unrest, and natural or manmade disasters, including famine, flood, fire, earthquake, storm or pandemic events and spread of disease, and geopolitical conflicts. Such events may affect our business by increasing prices for resources required in our research and development activities or limiting our access to patients for our clinical trials which may delay our progress on one or more of our clinical or preclinical drug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5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If these third parties do not successfully carry out their contractual duties or meet expected deadlines, we may not be able to successfully complete development of, obtain regulatory approval for, or commercialize our drug product candidates and our business could be substantially harmed.</w:t>
      </w:r>
    </w:p>
    <w:p>
      <w:pPr>
        <w:spacing w:after="0" w:line="6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rely upon and plan to continue to rely upon third-party CROs for execution of our clinical trials, and control only certain aspects of their activities. Nevertheless, we are responsible for ensuring that each of our trials is conducted in accordance with the applicable protocol, legal, regulatory and scientific standards and our reliance on the CROs does not relieve us of our regulatory responsibilities. We and our CROs, including our CMO Catalent Pharma Solutions, LLC, or Catalent, are required to comply with FDA laws and regulations regarding current good clinical practice, or GCP, for all of our products in clinical development. Regulatory authorities enforce GCP through periodic inspections of trial sponsors, principal investigators and trial sites. If we or any of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be certain that upon inspection by a given regulatory authority, such regulatory authority will determine that any of our clinical trials comply with GCP regulations. In addition, our clinical trials must be conducted with product produced under current good manufacturing practices, or GMP, regulations. While we work closely with our CMOs on the manufacturing process for our drug product candidates, including quality audits, we generally do not control the implementation of the manufacturing process of, and are completely dependent on, our CMOs for compliance with GMP regulatory requirements and for manufacture of both active drug substances and finished drug products. In addition, portions of the clinical trials for our drug product candidates may be conducted outside of the United States, which will make it more difficult for us to monitor CROs and perform visits of our clinical trial sites and will force us to rely heavily on CROs to ensure the proper and timely conduct of our clinical trials and compliance with applicable regulations, including GCP. Failure to comply with applicable regulations in the conduct of the clinical trials for our drug product candidates may require us to repeat clinical trials, which would delay the regulatory approval process.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ind w:firstLine="749"/>
        <w:spacing w:after="0" w:line="253" w:lineRule="auto"/>
        <w:rPr>
          <w:sz w:val="20"/>
          <w:szCs w:val="20"/>
          <w:color w:val="auto"/>
        </w:rPr>
      </w:pPr>
      <w:r>
        <w:rPr>
          <w:rFonts w:ascii="Times New Roman" w:cs="Times New Roman" w:eastAsia="Times New Roman" w:hAnsi="Times New Roman"/>
          <w:sz w:val="18"/>
          <w:szCs w:val="18"/>
          <w:color w:val="auto"/>
        </w:rPr>
        <w:t>Some of our CROs have an ability to terminate their respective agreements with us if, among other reasons, it can be reasonably demonstrated that the safety of the subjects participating in our clinical trials warrants such termination, if we make a general assignment for the benefit of our creditors or if we are liquidated. If any of our relationships with these third-party CROs terminate for any reason,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drug product candidates. Consequently, our results of operations and the commercial prospects for our drug product candidates would be harmed, our costs could increase substantially and our ability to generate revenue could be delayed significantly.</w:t>
      </w:r>
    </w:p>
    <w:p>
      <w:pPr>
        <w:spacing w:after="0" w:line="86"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completely on third parties to manufacture our preclinical and clinical drug supplies for our drug product candidates.</w:t>
      </w:r>
    </w:p>
    <w:p>
      <w:pPr>
        <w:spacing w:after="0" w:line="121"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We rely completely on third parties to manufacture clinical drug supplies for our drug product candidates. If we were to experience an unexpected loss of supply of our drug product candidates for any reason, whether as a result of manufacturing, supply or storage issues or otherwise, we could experience disruptions in supply or delays, suspensions or terminations of clinical trials or regulatory submissions. We do not currently have nor do we plan to acquire the infrastructure or capability internally to manufacture our preclinical and clinical drug supplies and we lack the resources and the capability to manufacture any of our drug product candidates on a clinical or commercial scale. The facilities used by our contract manufacturers or other third-party manufacturers to manufacture our drug product candidates, including Catalent and PCI San Diego, Inc., must obtain and maintain approval by the FDA. While we work closely with our third-party manufacturers on the manufacturing process for our drug product candidates, including quality audits, we generally do not control the implementation of the manufacturing process of, and are completely dependent on, our contract manufacturers or other third-party manufacturers for compliance with GMP regulatory requirements and for manufacture of both active drug substances and finished drug products. If our contract manufacturers or other third-party manufacturers cannot successfully manufacture material that conforms to applicable specifications and the strict regulatory requirements of the FDA or others, they will not be able to secure and/or maintain regulatory approval for their manufacturing facilities and we may not have sufficient access to supplies, which could significantly and adversely affect our operations.</w:t>
      </w:r>
    </w:p>
    <w:p>
      <w:pPr>
        <w:spacing w:after="0" w:line="82"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In addition, we have no control over the ability of our contract manufacturers or other third-party manufacturers to maintain adequate quality control, quality assurance and qualified personnel. If the FDA or a comparable foreign regulatory authority does not approve, or withdraws approval for, these facilities for the manufacture of our products and drug product candidates, we may need to find alternative manufacturing facilities, which would significantly impact our ability to commercialize, develop, or obtain or maintain regulatory approval for our products and drug product candidates.</w:t>
      </w:r>
    </w:p>
    <w:p>
      <w:pPr>
        <w:spacing w:after="0" w:line="7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We also rely on our manufacturers to purchase from third-party suppliers the materials necessary to produce our drug product candidates for our clinical trials. There are a limited number of suppliers for raw materials that we use to manufacture our products and drug product candidates and we may need to assess alternate suppliers to prevent a possible disruption of the manufacture of the materials necessary to produce our drug product candidates for our clinical trials. We do not have any control over the process or timing of the acquisition of these raw materials by our manufacturers. Moreover, we currently do not have any agreements for the commercial production of these raw materials. Although we generally do not begin a clinical trial unless we believe we have a sufficient supply of a product candidate to complete the clinical trial, any significant delay in the supply of a product candidate, or the raw material components thereof, for an ongoing clinical trial due to the need to replace a contract manufacturer or other third-party manufacturer could considerably delay completion of our clinical trials, product testing and potential regulatory approval of our drug product candidates.</w:t>
      </w:r>
    </w:p>
    <w:p>
      <w:pPr>
        <w:spacing w:after="0" w:line="192"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Reliance on third-party manufacturers entails additional risks, including the possible breach of manufacturing agreements by the third party, the possible misappropriation of our proprietary information and the possible termination or non-renewal of an agreement by a third party at a time that is costly or inconvenient for us.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53" w:name="page54"/>
    <w:bookmarkEnd w:id="53"/>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We expect to continue to depend on contract manufacturers or other third-party manufacturers for the foreseeable future. We may, however, be unable to enter into agreements or do so on commercially reasonable terms for potential future drug product candidates, which could have a material adverse impact upon our business.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sole or limited sources of supply for our drug product candidates and disruptions in the chain of supply have in the past, and may in the future, cause delays in developing, obtaining approval for, and commercializing our drug product candidates.</w:t>
      </w:r>
    </w:p>
    <w:p>
      <w:pPr>
        <w:spacing w:after="0" w:line="5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Currently, we use Catalent and PCI San Diego, Inc. as our source of supply for manufacturing clinical supply of our most advanced clinical stage assets, CUE-101 and CUE-102. If we experience multiple successive batch failures, or if supply from Catalent and PCI San Diego, Inc. is otherwise interrupted, there could be a significant disruption in our drug product candidates supply. Any alternative vendor would need to be qualified through an IND supplement, which could result in delay of our clinical trials of CUE-101 and CUE-102.</w:t>
      </w:r>
    </w:p>
    <w:p>
      <w:pPr>
        <w:spacing w:after="0" w:line="7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manufacturing processes for CUE-101, CUE-102, CUE-401, CUE-501 and our other drug product candidates are complex, and it may be difficult or impossible to finalize appropriate processes for the scaled manufacture of the drug product candidates. These factors could cause the delay of clinical trials, regulatory submissions, required approvals or commercialization of any of our drug product candidates; cause us to incur higher costs; or prevent us from commercializing them successfully. Furthermore, if our suppliers fail to deliver the required clinical or commercial quantities of active pharmaceutical ingredient on a timely basis and at commercially reasonable prices and we are unable to secure one or more replacement suppliers capable of production at a substantially equivalent cost, our clinical trials may be delayed.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Other Legal Matters</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licensor(s) are unable to protect our or its intellectual property, then our financial condition, results of operations and the value of our technology and potential products could be adversely affected.</w:t>
      </w:r>
    </w:p>
    <w:p>
      <w:pPr>
        <w:spacing w:after="0" w:line="5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Patents and other proprietary rights are essential to our business, and our ability to compete effectively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ourselves and our licensor(s) to obtain, to maintain (including making periodic filings and payments) and to enforce patent protection for its intellectual property, particularly those patent applications and other intellectual property to which we have secured exclusive rights. We and our licensor(s) may not successfully prosecute or continue to prosecute the patent applications which we have licensed. Even if patents are issued in respect of pending patent applications, we or our licensor(s) may fail to maintain these patents, may determine not to pursue litigation against entities that are infringing upon these patents, or may pursue such enforcement less aggressively than we ordinarily would. Without adequate protection for the intellectual property that we own or license, others may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the term of patent protection that we may have for our potential products.</w:t>
      </w:r>
    </w:p>
    <w:p>
      <w:pPr>
        <w:spacing w:after="0" w:line="21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Filing, prosecuting, maintaining and defending patents on drug product candidates in all countries throughout the world could be prohibitively expensive for us, and our intellectual property rights in some non-U.S. countries can have a different scope and strength than do those in the United States. In addition, the laws of certain non-U.S. countries do not protect intellectual property rights to the same extent as U.S. federal and state laws do. Consequently, we may not be able to prevent third parties from practicing our inventions in all countries outside the United States, or from selling or importing drugs made using our inventions in and into the United States or non-U.S. jurisdictions. Competitors may use our technologies in jurisdictions where we have not obtained patent protection to develop their own drugs and further, may export otherwise infringing drugs to non-U.S. jurisdictions where we have patent protection, but where enforcement rights are not as strong as those in the United States. These drugs may compete with our drug product candidates and our patent rights or other intellectual property rights may not be effective or adequate to prevent them from competing.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54" w:name="page55"/>
    <w:bookmarkEnd w:id="54"/>
    <w:p>
      <w:pPr>
        <w:ind w:firstLine="749"/>
        <w:spacing w:after="0" w:line="258" w:lineRule="auto"/>
        <w:rPr>
          <w:sz w:val="20"/>
          <w:szCs w:val="20"/>
          <w:color w:val="auto"/>
        </w:rPr>
      </w:pPr>
      <w:r>
        <w:rPr>
          <w:rFonts w:ascii="Times New Roman" w:cs="Times New Roman" w:eastAsia="Times New Roman" w:hAnsi="Times New Roman"/>
          <w:sz w:val="18"/>
          <w:szCs w:val="18"/>
          <w:color w:val="auto"/>
        </w:rPr>
        <w:t>Many U.S.-based companies have encountered significant problems in protecting and defending intellectual property rights in foreign jurisdictions. The legal systems of some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drugs in violation of our proprietary rights. Proceedings to enforce our patent and other intellectual property rights in non-U.S. jurisdictions could result in substantial costs and divert our efforts and attention from other aspects of our business.</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w:t>
      </w:r>
    </w:p>
    <w:p>
      <w:pPr>
        <w:spacing w:after="0" w:line="13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potential products could be adversely affected.</w:t>
      </w:r>
    </w:p>
    <w:p>
      <w:pPr>
        <w:spacing w:after="0" w:line="51"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In addition to our licensed technology, we rely, and will continue to rely, upon, among other things, unpatented proprietary technology, processes, trade secrets, trademarks,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or proprietary information in part by confidentiality agreements with our employees, consultants and third parties. While we require all of our employees, consultants, advisors and any third 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agreements may be terminated or breached, and we may not have adequate remedies for any such termination or breach. Furthermore, these agreements may not provide meaningful protection for our trade secrets and know-how in the event of unauthorized use or disclosure. To the extent that any of our staff was previously employed by other pharmaceutical, medical technology or biotechnology companies, those employers may allege violations of trade secrets and other similar claims in relation to their former employee’s therapeutic development activities for us. Any dispute involving such employees may result in liabilities to us.</w:t>
      </w:r>
    </w:p>
    <w:p>
      <w:pPr>
        <w:spacing w:after="0" w:line="21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development or commercialization rights to products or technology from third parties, we could lose license rights that are important to our business.</w:t>
      </w:r>
    </w:p>
    <w:p>
      <w:pPr>
        <w:spacing w:after="0" w:line="186"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hold an exclusive license from Einstein to intellectual property relating to certain patent rights, relating to our core technology platform for the engineering of biologics to control T cell activity, precision, immune-modulatory drug product candidates, and two supporting technologies that enable the discovery of costimulatory signaling molecules (ligands) and T cell targeting peptides. This license imposes various developmental milestone obligations on us. If we fail to comply with any obligations under the license agreement and fail to cure such noncompliance, Einstein will have the right to terminate the agreement and our license. The existing patent applications or future patents to which we have rights based on our agreements with Einstein may be too specific and narrowly construed to prevent third parties from developing or designing around the protection provided by these patents. Additionally, we may lose our rights to the patents and patent applications we license in the event of termination of the license agreement. There is no assurance that we will be successful in meeting all of the milestones in the future on a timely basis or that this license agreement will not be terminated for other reasons, depriving us of significant rights. The termination of this license agreement would have a material adverse effect on our financial condition, results of operations, and prospects.</w:t>
      </w:r>
    </w:p>
    <w:p>
      <w:pPr>
        <w:spacing w:after="0" w:line="2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patent and protect the intellectual property used in our potential products, others may be able to copy our innovations, which may impair our ability to compete effectively in our markets.</w:t>
      </w:r>
    </w:p>
    <w:p>
      <w:pPr>
        <w:spacing w:after="0" w:line="18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strength of our anticipated patents will involve complex legal and scientific matters and can be uncertain. As described above under “Business – Our Intellectual Property,” we own or license a number of pending patent applications. Our anticipated patents may be challenged or fail to result in issued patents and anticipated patents may be too specific and narrowly construed to prevent third parties from developing or designing around the protections provided by our intellectual property and in that event we may lose competitive advantage and our business may suffer. Further, the patent and patent applications that we license or have filed may fail to result in issued patents or the claims may need to be amended. Even after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5" w:name="page56"/>
    <w:bookmarkEnd w:id="55"/>
    <w:p>
      <w:pPr>
        <w:ind w:right="800"/>
        <w:spacing w:after="0" w:line="282" w:lineRule="auto"/>
        <w:rPr>
          <w:sz w:val="20"/>
          <w:szCs w:val="20"/>
          <w:color w:val="auto"/>
        </w:rPr>
      </w:pPr>
      <w:r>
        <w:rPr>
          <w:rFonts w:ascii="Times New Roman" w:cs="Times New Roman" w:eastAsia="Times New Roman" w:hAnsi="Times New Roman"/>
          <w:sz w:val="18"/>
          <w:szCs w:val="18"/>
          <w:color w:val="auto"/>
        </w:rPr>
        <w:t>amendment, a patent may not issue. In that event, we may not obtain the exclusive use of the intellectual property that we seek, and we may lose competitive advantage, which could result in harm to our business.</w:t>
      </w:r>
    </w:p>
    <w:p>
      <w:pPr>
        <w:spacing w:after="0" w:line="185"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Litigation or third-party claims of intellectual property infringement or challenges to the validity of our anticipated patents would require us to use resources to protect our technology and may prevent or delay our development, regulatory approval or commercialization of our drug product candidates.</w:t>
      </w:r>
    </w:p>
    <w:p>
      <w:pPr>
        <w:spacing w:after="0" w:line="202"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If we are the target of claims by third parties asserting that our potential products or intellectual property infringe upon the rights of others, we may be forced to incur substantial expenses or divert substantial employee resources from our business.</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If successful, those claims could result in our having to pay substantial damages or could prevent us from developing one or more drug product candidates. Further, if a patent infringement suit is brought against us or our collaborators, we or they could be forced to stop or delay research, development, manufacturing or sales of the product or product candidate that is the subject of the suit.</w:t>
      </w:r>
    </w:p>
    <w:p>
      <w:pPr>
        <w:spacing w:after="0" w:line="203" w:lineRule="exact"/>
        <w:rPr>
          <w:sz w:val="20"/>
          <w:szCs w:val="20"/>
          <w:color w:val="auto"/>
        </w:rPr>
      </w:pPr>
    </w:p>
    <w:p>
      <w:pPr>
        <w:ind w:firstLine="749"/>
        <w:spacing w:after="0" w:line="270" w:lineRule="auto"/>
        <w:rPr>
          <w:sz w:val="20"/>
          <w:szCs w:val="20"/>
          <w:color w:val="auto"/>
        </w:rPr>
      </w:pPr>
      <w:r>
        <w:rPr>
          <w:rFonts w:ascii="Times New Roman" w:cs="Times New Roman" w:eastAsia="Times New Roman" w:hAnsi="Times New Roman"/>
          <w:sz w:val="17"/>
          <w:szCs w:val="17"/>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 agreements on acceptable terms or at all. This could harm our business significantly. The cost to us of any litigation or other proceeding, regardless of its merit, and even if resolved in our favor, could be substantial. Some of our competitors may be able to bear the costs of such litigation or proceedings more effectively than we can because of their greater financial and human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20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Although we are not currently aware of any litigation or other proceedings or third-party claims of intellectual property infringement, the biotechnology and pharmaceutical industries are characterized by many suits regarding patents and other intellectual property rights. Other parties may in the future allege that our activities infringe upon their patents or that we are employing their proprietary technology without authorization. We may not have identified all the patents, patent applications or published literature that affect our business either by blocking our ability to commercialize our potential products, by preventing the patentability of one or more aspects of our potential products or those of our licensor or by covering the same or similar technologies that may affect our ability to market our potential products. In addition, even in the absence of litigation, we may need to obtain licenses from third parties to advance our research or allow commercialization of our drug product candidates, and we have done so from time to time. We may fail to obtain future licenses at a reasonable cost or on reasonable terms, if at all. In that event, we may be unable to further develop and commercialize one or more of our drug product candidates, which could harm our business significantly.</w:t>
      </w:r>
    </w:p>
    <w:p>
      <w:pPr>
        <w:spacing w:after="0" w:line="215"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Some intellectual property that we have in-licensed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03"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The majority of the intellectual property rights we have licensed are generated through the use of U.S. government funding and are therefore subject to certain federal regulations. As a result, the U.S. government may have certain rights to intellectual property embodied in our current or future drug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56" w:name="page57"/>
    <w:bookmarkEnd w:id="56"/>
    <w:p>
      <w:pPr>
        <w:ind w:right="40"/>
        <w:spacing w:after="0" w:line="254" w:lineRule="auto"/>
        <w:rPr>
          <w:sz w:val="20"/>
          <w:szCs w:val="20"/>
          <w:color w:val="auto"/>
        </w:rPr>
      </w:pPr>
      <w:r>
        <w:rPr>
          <w:rFonts w:ascii="Times New Roman" w:cs="Times New Roman" w:eastAsia="Times New Roman" w:hAnsi="Times New Roman"/>
          <w:sz w:val="18"/>
          <w:szCs w:val="18"/>
          <w:color w:val="auto"/>
        </w:rPr>
        <w:t>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drug product candidates for an adequate amount of time.</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normal statutory term of a patent is generally 20 years from its earliest U.S. non-provisional filing date. Various extensions may be available, but the life of a patent, and the protection it affords, is limited. Further, normal statutory patent terms may be limited in the U.S. in the event there is a determination that the claims in different patents are directed to obvious variants of the same invention, which can negatively impact the normal statutory patent term. Even if patents covering our drug product candidates are obtained, once the patent life has expired for a product candidate, we may be open to competition from competitive medications, including generic medications. Given the amount of time required for the development, testing and regulatory review of new drug product candidates, patents protecting such drug product candidates might expire before or shortly after such drug product candidates are commercialized. As a result, our owned and licensed patent portfolio may not provide us with sufficient rights to exclude others from commercializing drug product candidates similar or identical to ours.</w:t>
      </w:r>
    </w:p>
    <w:p>
      <w:pPr>
        <w:spacing w:after="0" w:line="165" w:lineRule="exact"/>
        <w:rPr>
          <w:sz w:val="20"/>
          <w:szCs w:val="20"/>
          <w:color w:val="auto"/>
        </w:rPr>
      </w:pPr>
    </w:p>
    <w:p>
      <w:pPr>
        <w:ind w:right="80" w:firstLine="749"/>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drug product candidates, one or more of our U.S. patents may be eligible for limited patent term extension under the Drug Price Competition and Patent Term Restoration Act of 1984, referred to as the Hatch-Waxman Amendments, and similar legislation in the European Union, or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the scope of protection is not the full scope of the claims but is instead limited to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22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drug product candidates.</w:t>
      </w:r>
    </w:p>
    <w:p>
      <w:pPr>
        <w:spacing w:after="0" w:line="18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drug product candidates and will face an even greater risk if we commercialize any drugs. For example, we may be sued if our drug product candidates cause or are perceived to cause injury or death or are found to be otherwise unsuitable during clinical testing, manufacturing, marketing or sale. Any such product liability claims may include allegations of defects in manufacturing, defects in design, a failure to warn of dangers inherent in the drug, negligence, strict liability or a breach of warranties. Claims could also be asserted under state or foreign consumer protection laws. If we cannot successfully defend ourselves against product liability claims, we may incur substantial liabilities or be required to limit commercialization of our drug product candidates. Even a successful defense would require significant financial and management resources. Regardless of the merits or eventual outcome, liability claims may result in:</w:t>
      </w:r>
    </w:p>
    <w:p>
      <w:pPr>
        <w:spacing w:after="0" w:line="148"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potential drugs;</w:t>
      </w:r>
    </w:p>
    <w:p>
      <w:pPr>
        <w:spacing w:after="0" w:line="184" w:lineRule="exact"/>
        <w:rPr>
          <w:rFonts w:ascii="Times New Roman" w:cs="Times New Roman" w:eastAsia="Times New Roman" w:hAnsi="Times New Roman"/>
          <w:sz w:val="18"/>
          <w:szCs w:val="18"/>
          <w:color w:val="auto"/>
        </w:rPr>
      </w:pPr>
    </w:p>
    <w:p>
      <w:pPr>
        <w:ind w:left="5540" w:right="5460" w:hanging="4783"/>
        <w:spacing w:after="0" w:line="409" w:lineRule="auto"/>
        <w:tabs>
          <w:tab w:leader="none" w:pos="113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 and significant negative media attention;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7" w:name="page58"/>
    <w:bookmarkEnd w:id="57"/>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inability to continue clinical trials;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cost;</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w:t>
      </w:r>
    </w:p>
    <w:p>
      <w:pPr>
        <w:spacing w:after="0" w:line="19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drugs we develop, alone or with collaborators. Our insurance policies may also have various exclusions, and we may be subject to a product liability claim for which we have no coverage. We may have to pay any amounts awarded by a court or negotiated in a settlement that exceed our insurance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5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of our drug product candidates. If we are not able to obtain, or if there are delays in obtaining, required regulatory approvals, we will not be able to commercialize, or will be delayed in commercializing, our drug product candidates, and our ability to generate revenue will be materially impaired.</w:t>
      </w:r>
    </w:p>
    <w:p>
      <w:pPr>
        <w:spacing w:after="0" w:line="72"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Any of our drug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drug product candidates from regulatory authorities in any jurisdiction. We have only limited experience in filing and supporting the applications necessary to gain marketing approvals and expect to rely on third-party CROs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and potency. Securing regulatory approval also requires the submission of information about the product manufacturing process to, and inspection of manufacturing facilities by, the relevant regulatory authority. Any of our drug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5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addition, under the Pediatric Research Equity Act of 2003, a BLA or supplement to a BLA for certain biological products must contain data to assess the safety and effectiveness of the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 also requires sponsors to either conduct clinical trials in a pediatric population in accordance with a Pediatric Investigation Plan approved by the Pediatric Committee of the European Medicines Agency, or EMA, or to obtain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58" w:name="page59"/>
    <w:bookmarkEnd w:id="58"/>
    <w:p>
      <w:pPr>
        <w:jc w:val="both"/>
        <w:ind w:right="440"/>
        <w:spacing w:after="0" w:line="289" w:lineRule="auto"/>
        <w:rPr>
          <w:sz w:val="20"/>
          <w:szCs w:val="20"/>
          <w:color w:val="auto"/>
        </w:rPr>
      </w:pPr>
      <w:r>
        <w:rPr>
          <w:rFonts w:ascii="Times New Roman" w:cs="Times New Roman" w:eastAsia="Times New Roman" w:hAnsi="Times New Roman"/>
          <w:sz w:val="17"/>
          <w:szCs w:val="17"/>
          <w:color w:val="auto"/>
        </w:rPr>
        <w:t>waiver or deferral from the conduct of these studies by the Pediatric Committee of the EMA. For any of our drug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131"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Finally,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43"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of our drug product candidates, the commercial prospects for those drug product candidates may be harmed, and our ability to generate revenues will be materially impaired.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regulation in respect of our research and federal funding.</w:t>
      </w:r>
    </w:p>
    <w:p>
      <w:pPr>
        <w:spacing w:after="0" w:line="25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Because our licensor has conducted research under federal grants and we may conduct further research under federal grants, we will be subject to federal regulation in how we conduct our research and the agreement terms relating to those grants. There are also ethical guidelines promulgated by various governments and research institutions that we are required to follow in respect of our research. These guidelines are orientated towards research and experimentation involving humans and animals. Failure to follow the regulations, agreement terms and accepted scientific practices would jeopardize our grants and our results and the use of the results in further research and approval circumstances. Because our licensor has used federal funding, the government retains a “march-in” right in connection with these grants, which is the right to grant additional licenses to practice inventions developed from grant funding.</w:t>
      </w:r>
    </w:p>
    <w:p>
      <w:pPr>
        <w:spacing w:after="0" w:line="8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December 2023, the National Institute of Standards and Technology, or NIST, released for public comment a Draft Interagency Guidance Framework for Considering the Exercise of March-In Rights, or the Draft Framework. The Draft Framework sets forth the factors that an agency may consider when deciding whether to exercise march-in rights pursuant to the Bayh-Dole Act and includes a first-ever specification that price can be a factor in determining that a drug or other taxpayer-funded invention is not accessible to the public. NIST is currently seeking public comments on the proposed Draft Framework. The potential inclusion of price as a factor in a march-in determination and the exercise of “march-in” rights by the federal government could result in decreased demand for our future products, which could have a material adverse effect on our results of operations and financial condition. In addition, any failure to comply with applicable laws or regulations could harm our business and divert our management’s attention.</w:t>
      </w:r>
    </w:p>
    <w:p>
      <w:pPr>
        <w:spacing w:after="0" w:line="15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any of our drug product candidates from being marketed in such jurisdictions, which, in turn, would materially impair our ability to generate revenue.</w:t>
      </w:r>
    </w:p>
    <w:p>
      <w:pPr>
        <w:spacing w:after="0" w:line="5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order to market and sell any of our drug product candidates in the European Union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same or similar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drug product candidates in any jurisdiction, which would materially impair our ability to generate revenue.</w:t>
      </w:r>
    </w:p>
    <w:p>
      <w:pPr>
        <w:spacing w:after="0" w:line="154"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obtaining marketing authorization in the UK as a result of the withdrawal of the UK from the EU, commonly referred to as Brexit. The UK is no longer part of the European Single Market and EU Customs Union. As of January 1, 2025, the Medicines and Healthcare Products Regulatory Agency, or MHRA, is responsible for approving all medicinal products destined for the United Kingdom market (i.e., Great Britain and Northern Ireland). On April 28, 2025, the UK Parliament adopted amendments to improve and strengthen the UK’s clinical trials regulatory regime; they will take effect on April 28, 2026. These changes were needed since the current UK requirements are based upon the now-repealed EU Clinical Trials Directive (2001/20/EC), which has been replaced by the European Clinical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59" w:name="page60"/>
    <w:bookmarkEnd w:id="59"/>
    <w:p>
      <w:pPr>
        <w:ind w:right="60"/>
        <w:spacing w:after="0" w:line="282" w:lineRule="auto"/>
        <w:rPr>
          <w:sz w:val="20"/>
          <w:szCs w:val="20"/>
          <w:color w:val="auto"/>
        </w:rPr>
      </w:pPr>
      <w:r>
        <w:rPr>
          <w:rFonts w:ascii="Times New Roman" w:cs="Times New Roman" w:eastAsia="Times New Roman" w:hAnsi="Times New Roman"/>
          <w:sz w:val="18"/>
          <w:szCs w:val="18"/>
          <w:color w:val="auto"/>
        </w:rPr>
        <w:t>Trials Regulation (Regulation EU No 536/2014). Since the UK left the EU prior to the date on which the EU CTR took effect, the UK legal framework did not benefit from the same revisions as occurred at EU level.</w:t>
      </w:r>
    </w:p>
    <w:p>
      <w:pPr>
        <w:spacing w:after="0" w:line="13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At the same time, a new international recognition procedure, or IRP, will apply,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EU/European Economic Area, or EEA, member states for approvals in the EU centralized procedure and mutual recognition procedure as well as the FDA (for product approvals granted in the U.S.). However, the concrete functioning of the IRP is currently unclear. Any delay in obtaining, or an inability to obtain, any marketing approvals may force us or our collaborators to restrict or delay efforts to seek regulatory approval in the UK for our product candidates, which could significantly and materially harm our business.</w:t>
      </w:r>
    </w:p>
    <w:p>
      <w:pPr>
        <w:spacing w:after="0" w:line="363"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which may reduce the duration of regulatory data protection and exclusivity periods for orphan drugs, and revise the eligibility for expedited pathways in addition to other changes, was published on April 26, 2023. On June 4, 2025, after almost two years of negotiations among the EU Member States, the Council of the European Union adopted its position on the proposed overhaul of the EU general pharmaceutical legislative framework, which is known as the new Pharma Package. Thereafter, on December 11, 2025, the European Parliament and Council reached a provisional political agreement on the legislation which is expected to be adopted by mid-2026. The revisions may have a significant impact on the pharmaceutical industry and our business. They would, among other things, set a baseline period of 8 years of data exclusivity and one year of market exclusivity with possible extensions for new indications up to a maximum of 11 years total. There will likely be a transition period of 24 months, with the changes taking effect in mid-2028.</w:t>
      </w:r>
    </w:p>
    <w:p>
      <w:pPr>
        <w:spacing w:after="0" w:line="154"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drug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20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one or more of our drug product candidates, but even if such designation is granted, we may be unable to maintain any benefits associated with orphan drug designation, including market exclusivity that prevents the FDA or the EMA from approving other competing products.</w:t>
      </w:r>
    </w:p>
    <w:p>
      <w:pPr>
        <w:spacing w:after="0" w:line="20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designate a product as an orphan drug if it is a drug or biologic intended to treat a rare disease or condition. A similar regulatory scheme governs approval of orphan products by the EMA in the European Union. Generally, if a product candidate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for the same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order for the FDA to grant orphan drug exclusivity to one of our products, the agency must find that the product is indicated for the treatment of a condition or disease with a patient population of fewer than 200,000 individuals annually in the United States. The FDA may conclude that the condition or disease for which we seek orphan drug exclusivity does not meet this standard. Even if we obtain orphan drug exclusivity for a product, that exclusivity may not effectively protect the product from competition because different products can be approved for the same condition.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60" w:name="page61"/>
    <w:bookmarkEnd w:id="60"/>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The FDA and Congress may further reevaluate and revise the Orphan Drug Act and its regulations and policies. For example, in September 2021, the U.S. Court of Appeals for the 11th Circuit held that, for the purpose of determining the scope of orphan drug exclusivity, the term “same disease or condition” means the designated “rare disease or condition” and not the “indication or use” for which the product is approved. Subsequently, in another case, a federal district court in Washington, D.C. followed the reasoning of the 11th Circuit decision, and that decision was appealed to the U.S. Court of Appeals for the D.C. Circuit. On February 3, 2026, the Consolidated Appropriations Act of 2026 was enacted into law. It overruled these court decisions and codified the FDA’s longstanding interpretation of the scope of orphan drug exclusivity to apply to “the same drug for the same approved use or indication within such [designated] rare disease or condition.” This change, which applies retroactively, expressly authorizes the FDA to approve multiple versions of the same orphan drug for different sub-indications and subpopulations, such as adult and pediatric patients or multiple variations of the same disease that are caused by different genetic variants.</w:t>
      </w:r>
    </w:p>
    <w:p>
      <w:pPr>
        <w:spacing w:after="0" w:line="21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drug product candidates that are licensed and regulated as biologics may face competition from biosimilars approved through an abbreviated regulatory pathway.</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was enacted as part of the Patient Protection and Affordable Care Act, as amended by the Health Care and Education Reconciliation Act of 2010, or collectively the PPACA,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12-year period of exclusivity, another company may still develop and receive approval of a competing biologic, so long as its BLA does not reply on the reference product, sponsor’s data or submit the application as a biosimilar application.</w:t>
      </w:r>
    </w:p>
    <w:p>
      <w:pPr>
        <w:spacing w:after="0" w:line="188"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believe that any of the product candidates we develop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Further, the FDA may revise the standards governing approval of biosimilars so as to bring such products to the market more quickly.</w:t>
      </w:r>
    </w:p>
    <w:p>
      <w:pPr>
        <w:spacing w:after="0" w:line="5"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For example, in October 2025, the FDA issued draft guidance which proposes to eliminate the need for sponsors of biosimilar products to conduct comparative human clinical efficacy studies, allowing them to rely instead on analytical testing to demonstrate product differences from a reference product. In addition, in February 2026, the Commissioner of Food and Drugs (the Commissioner) and the Director of the Center for Biologics Evaluation and Research published an editorial in the New England Journal of Medicine in which they declared that, in most cases, the new default requirement for FDA approval of a new product will be one adequate and well-controlled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The FDA has long had authority to approve new products on the basis of one trial plus confirmatory evidence and, in recent years, the agency has exercised that authority with respect to certain types of products. The FDA now takes the position that this will be the new official default standard for most product candidates. At this point, it is unclear how this new policy will be implemented by the FDA and how, if at all, it will affect our clinical development programs.</w:t>
      </w:r>
    </w:p>
    <w:p>
      <w:pPr>
        <w:spacing w:after="0" w:line="21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 or breakthrough therapy and priority review programs for our drug product candidates. Even if our drug product candidates receive one or more of these designations, the product candidate may not be subject to a faster review process nor does any such designation assure approval of our drug product candidates.</w:t>
      </w:r>
    </w:p>
    <w:p>
      <w:pPr>
        <w:spacing w:after="0" w:line="6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aim to benefit from the FDA’s fast track, breakthrough therapy and priority review programs. However, our drug product candidates may not receive an FDA fast track designation, breakthrough therapy designation, or priority review. Without fast track designation, submitting a BLA, and getting through the regulatory process to gain marketing approval is a lengthy process. Under fast track designation, the FDA may initiate review of sections of a fast track drug’s BLA before the application is complete. However, the FDA’s time period goal for reviewing an application does not begin until the last section of the BLA is submitted. On October 3, 2022, we received fast track designation for CUE-101 for the treatment of R/M HPV+ HNSCC as a monotherapy and in combination with KEYTRUDA.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1" w:name="page62"/>
    <w:bookmarkEnd w:id="61"/>
    <w:p>
      <w:pPr>
        <w:ind w:firstLine="749"/>
        <w:spacing w:after="0" w:line="255" w:lineRule="auto"/>
        <w:rPr>
          <w:sz w:val="20"/>
          <w:szCs w:val="20"/>
          <w:color w:val="auto"/>
        </w:rPr>
      </w:pPr>
      <w:r>
        <w:rPr>
          <w:rFonts w:ascii="Times New Roman" w:cs="Times New Roman" w:eastAsia="Times New Roman" w:hAnsi="Times New Roman"/>
          <w:sz w:val="18"/>
          <w:szCs w:val="18"/>
          <w:color w:val="auto"/>
        </w:rPr>
        <w:t>The FDA has also established breakthrough therapy designation, which is for a product that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sponsor regarding development and approval; involving more senior staff in the review process; assigning a cross-disciplinary project lead for the review team; and taking other steps to design the clinical trials in an efficient manner. We may seek breakthrough therapy designation for one or more of our drug product candidates, but there can be no assurance that we will receive such designation.</w:t>
      </w:r>
    </w:p>
    <w:p>
      <w:pPr>
        <w:spacing w:after="0" w:line="216"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Under the FDA's policies, a product candidate is eligible for priority review, or review within a six-month time frame from the time a complete BLA is accepted for filing, if the product candidate provides a significant improvement compared to marketed drugs in the treatment, diagnosis or prevention of a disease.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fast track or breakthrough therapy designated drug product candidate would ordinarily meet the FDA’s criteria for priority review.</w:t>
      </w:r>
    </w:p>
    <w:p>
      <w:pPr>
        <w:spacing w:after="0" w:line="214"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FDA has broad discretion with respect to whether or not to grant these designations to a product candidate, so even if we believe a particular product candidate is eligible for such designation or status, the FDA may decide not to grant it. Moreover, any such designation does not necessarily mean a faster regulatory review process or necessarily confer any advantage with respect to licensure compared to conventional FDA procedures. As a result, while we may seek and receive these designations for our drug product candidates, we may not experience a faster development process, review or approval compared to conventional FDA procedures. In addition, the FDA may withdraw these designations if it believes that the designation is no longer supported by data from our clinical development program. A delay in the review process or in the approval of our potential products would delay revenue, if any, from their potential sales and would increase the capital necessary to fund these product development programs.</w:t>
      </w:r>
    </w:p>
    <w:p>
      <w:pPr>
        <w:spacing w:after="0" w:line="216"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are also currently participating in Project Optimus, an initiative of the Oncology Center of Excellence at the FDA. This project focuses on dose optimization and dose selection in oncology drug development, and whether the current paradigm based on cytotoxic chemotherapeutics leads to doses and schedules of molecularly targeted therapies that provide more toxicity without additional efficacy, among other things. By participating in Project Optimus, we have the opportunity to meet with the FDA’s Oncology Review Divisions early in our development programs, well before conducting trials intended for registration, to discuss dose-finding and dose optimization. The program thus allows us to develop strategies for dose finding and dose optimization that leverages nonclinical and clinical data in dose selection, including randomized evaluations of a range of doses in trials, with the objective of performing these studies as early as possible in the development program to bring promising new therapies to patients. There is no assurance, however, that our involvement in this program will lead to early discussions with the FDA or expedited studies leading to optimization of dose selection for our candidate products.</w:t>
      </w:r>
    </w:p>
    <w:p>
      <w:pPr>
        <w:spacing w:after="0" w:line="18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from the FDA or comparable foreign regulatory authorities to use accelerated development pathways for our drug product candidates. If we are not able to use such pathways, we may be required to conduct additional clinical trials beyond those that are contemplated, which would increase the expense of obtaining, and delay the receipt of, necessary marketing approvals, if we receive them at all. In addition, even if an accelerated approval pathway is available to us, it may not lead to expedited approval of our drug product candidates, or approval at all.</w:t>
      </w:r>
    </w:p>
    <w:p>
      <w:pPr>
        <w:spacing w:after="0" w:line="18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Under the Federal Food, Drug and Cosmetic Act, or the FDCA, and implementing regulations, the FDA may grant accelerated approval to a product candidate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measurement of a therapeutic effect that is considered reasonably likely to predict the clinical benefit of a drug. The accelerated approval pathway may be used in cases in which the advantage of a new drug over available therapy may not be a direct therapeutic advantage, but is a clinically important improvement from a patient and public health perspective.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62" w:name="page63"/>
    <w:bookmarkEnd w:id="62"/>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Prior to seeking such accelerated approval, we will continue to seek feedback from the FDA or comparable foreign regulatory agencies and otherwise evaluate our ability to seek and receive such accelerated approval. There can be no assurance that the FDA or foreign regulatory agencies will agree with our surrogate endpoints or intermediate clinical endpoints in any of our clinical trials, or that we will decide to pursue or submit any additional applications for accelerated approval or any other form of expedited development, review or approval. Similarly, there can be no assurance that, after feedback from the FDA or comparable foreign regulatory agencies, we will continue to pursue or apply for accelerated approval or any other form of expedited development, review or approval. Furthermore, for any submission of an application for accelerated approval or application under another expedited regulatory designation, there can be no assurance that such submission or application will be accepted for filing or that any expedited development, review or approval will be granted on a timely basis, or at all.</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Finally, there can be no assurance that we will satisfy all FDA requirements, including new provisions that govern accelerated approval. For example, with passage of the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and to submit progress reports on its post-approval studies to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or the Commissioner’s designee and a written appeal, among other things. We will need to fully comply with these and other requirements in connection with the development and approval of any product candidate that qualifies for accelerated approval.</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March 2023, the FDA issued draft guidance that outlines its current thinking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FDA’s views on what it means to conduct a confirmatory trial with due diligence and how the agency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p>
    <w:p>
      <w:pPr>
        <w:spacing w:after="0" w:line="188"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Accordingly, a failure to obtain and maintain accelerated approval or any other form of expedited development, review or approval for our drug product candidates, or withdrawal of a product candidate, would result in a longer time period until commercialization of such product candidate, could increase the cost of development of such product candidate and could harm our competitive position in the marketplace.</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certain of our drug product candidates at sites outside the United States. The FDA may not accept data from trials conducted in such locations and the conduct of trials outside the United States could subject us to additional delays and expense.</w:t>
      </w:r>
    </w:p>
    <w:p>
      <w:pPr>
        <w:spacing w:after="0" w:line="159"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We may in the future conduct one or more of our clinical trials with trial sites that are located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 The FDA must be able to validate the data from the trial through an onsite inspection if necessary.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United States. In addition, while these clinical trials are subject to the applicable local laws, the FDA acceptance of the data will be dependent upon its determination that the trials also complied with all applicable U.S. laws and regulations. There can be no assurance that the FDA will accept data from clinical trials conducted outside of the United States. If the FDA does not accept the data from any trial that we conduct outside the United States, it would likely result in the need for additional trials, which would be costly and time-consuming and delay or permanently halt our development of our drug product candidates.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3" w:name="page64"/>
    <w:bookmarkEnd w:id="63"/>
    <w:p>
      <w:pPr>
        <w:ind w:firstLine="749"/>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United States could have a significant adverse impact on us or the trial results. Risks inherent in conducting international clinical trials include:</w:t>
      </w:r>
    </w:p>
    <w:p>
      <w:pPr>
        <w:spacing w:after="0" w:line="5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practice patterns and standards of care that vary widely among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regulatory authority requirements that could restrict or limit our ability to conduct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non-U.S. regulatory authority schema;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39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obtain the necessary approval of our potential products, as a precondition, we will need to conduct various preclinical and clinical tests, all of which will be costly and time consuming, and may not provide results that will allow us to seek regulatory approval.</w:t>
      </w:r>
    </w:p>
    <w:p>
      <w:pPr>
        <w:spacing w:after="0" w:line="18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number of preclinical and clinical tests that will be required for regulatory approval varies depending on the disease or condition to be treated, the method of treatment, the nature of the drug, the jurisdiction in which approval is sought and the applicable regulations. Regulatory agencies can delay, limit or deny approval of a product for many reasons. For example, regulatory agencies may:</w:t>
      </w:r>
    </w:p>
    <w:p>
      <w:pPr>
        <w:spacing w:after="0" w:line="203" w:lineRule="exact"/>
        <w:rPr>
          <w:sz w:val="20"/>
          <w:szCs w:val="20"/>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deem a product candidate to be safe or effective;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data from preclinical and clinical testing differently than we do;</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approve the manufacturing processes;</w:t>
      </w:r>
    </w:p>
    <w:p>
      <w:pPr>
        <w:spacing w:after="0" w:line="225" w:lineRule="exact"/>
        <w:rPr>
          <w:rFonts w:ascii="Times New Roman" w:cs="Times New Roman" w:eastAsia="Times New Roman" w:hAnsi="Times New Roman"/>
          <w:sz w:val="18"/>
          <w:szCs w:val="18"/>
          <w:color w:val="auto"/>
        </w:rPr>
      </w:pPr>
    </w:p>
    <w:p>
      <w:pPr>
        <w:ind w:left="1140" w:right="980" w:hanging="383"/>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that our drug product candidate does not meet quality standards for durability, long-term reliability, biocompatibility, compatibility, or safety;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their approval policies or adopt new regulations.</w:t>
      </w:r>
    </w:p>
    <w:p>
      <w:pPr>
        <w:spacing w:after="0" w:line="252" w:lineRule="exact"/>
        <w:rPr>
          <w:sz w:val="20"/>
          <w:szCs w:val="20"/>
          <w:color w:val="auto"/>
        </w:rPr>
      </w:pPr>
    </w:p>
    <w:p>
      <w:pPr>
        <w:jc w:val="both"/>
        <w:ind w:right="400" w:firstLine="749"/>
        <w:spacing w:after="0" w:line="266" w:lineRule="auto"/>
        <w:rPr>
          <w:sz w:val="20"/>
          <w:szCs w:val="20"/>
          <w:color w:val="auto"/>
        </w:rPr>
      </w:pPr>
      <w:r>
        <w:rPr>
          <w:rFonts w:ascii="Times New Roman" w:cs="Times New Roman" w:eastAsia="Times New Roman" w:hAnsi="Times New Roman"/>
          <w:sz w:val="18"/>
          <w:szCs w:val="18"/>
          <w:color w:val="auto"/>
        </w:rPr>
        <w:t>The FDA may make requests or suggestions regarding conduct of any clinical trials, resulting in an increased risk of difficulties or delays in obtaining regulatory approval in the United States. Foreign regulatory agencies may similarly have the ability to influence any clinical trials occurring outside the United States. Any of these occurrences could prove materially harmful to our operations and business.</w:t>
      </w:r>
    </w:p>
    <w:p>
      <w:pPr>
        <w:spacing w:after="0" w:line="19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we may have, obtain marketing approvals for any of our drug product candidates, the terms of approvals and ongoing regulation of our products could require the substantial expenditure of resources and may limit how we, or they, manufacture and market our products, which could materially impair our ability to generate revenue.</w:t>
      </w:r>
    </w:p>
    <w:p>
      <w:pPr>
        <w:spacing w:after="0" w:line="17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GMP requirements relating to quality control,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spacing w:after="0" w:line="81"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Accordingly, assuming we, or any collaborators we may have, receive marketing approval for one or more of our drug product candidates, we, and such collaborators, and our and their contract manufacturers will continue to need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products withdrawn by regulatory authorities and our, or such collaborators’, ability to market any future products could be limited, which could adversely affect our ability to generate revenue and achieve or sustain profitability. Further, the cost of compliance with post-approval regulations may have a negative effect on our business, operating results, financial condition, and prospects.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4" w:name="page65"/>
    <w:bookmarkEnd w:id="64"/>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receive regulatory approval for any product candidate, we will be subject to ongoing obligations and continuing regulatory review, which may result in significant additional expense. Our drug product candidates, if approved, could be subject to restrictions or withdrawal from the market, and we may be subject to penalties if we fail to comply with regulatory requirements or if we experience unanticipated problems with our drug product candidates, when and if approved.</w:t>
      </w:r>
    </w:p>
    <w:p>
      <w:pPr>
        <w:spacing w:after="0" w:line="18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Any drug product candidate for which we obtain marketing approval will also be subject to ongoing regulatory requirements for labeling, packaging, storage, distribution, advertising, promotion, record-keeping and submission of safety and other post marketing information. For example, approved products, manufacturers and manufacturers’ facilities are required to comply with extensive FDA requirements, including ensuring that quality control and manufacturing procedures conform to GMPs. As such, we and our contract manufacturers will be subject to continual review and periodic inspections to assess compliance with GMPs. Accordingly, we and others with whom we work must continue to expend time, money and effort in all areas of regulatory compliance, including manufacturing, production and quality control. We will also be required to report certain adverse reactions and production problems, if any, to the FDA and to comply with requirements concerning advertising and promotion for our products.</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marketing approval of a product candidate is granted, the approval may be subject to limitations on the indicated uses for which the product may be marketed, may be subject to significant conditions of approval or may impose requirements for costly post-marketing testing and surveillance to monitor the safety or efficacy of the product. The FDA may also require a Risk Evaluation and Mitigation Strategy, or REMS, as a condition of approval of our drug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8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it may impose restrictions on that product or us. In addition, if any product fails to comply with applicable regulatory requirements, a regulatory agency may:</w:t>
      </w:r>
    </w:p>
    <w:p>
      <w:pPr>
        <w:spacing w:after="0" w:line="176" w:lineRule="exact"/>
        <w:rPr>
          <w:sz w:val="20"/>
          <w:szCs w:val="20"/>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fines, warning letters, untitled letters or impose holds on clinical trials if any are still ongoing;</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provision of corrective information to healthcare practitioners;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the product or its manufacturers or manufacturing processes;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the labeling or marketing of the product;</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product distribution or use;</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post-marketing clinical trials;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withdrawal of the product from the market;</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that we submit;</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recall of the product;</w:t>
      </w:r>
    </w:p>
    <w:p>
      <w:pPr>
        <w:spacing w:after="0" w:line="184"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entry into a consent decree, which can include imposition of various fines (including restitution or disgorgement of profits or revenue), reimbursements for inspection costs, required due dates for specific actions and penalties for non-compliance;</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marketing approvals;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the product;</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supplies of the product; or</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injunctions or impose civil or criminal penalties.</w:t>
      </w:r>
    </w:p>
    <w:p>
      <w:pPr>
        <w:spacing w:after="0" w:line="198"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Further, our ability to develop and market new drug products may be impacted by litigation challenging the FDA’s approval of another company’s drug product. In April 2023, the U.S. District Court for the Northern District of Texas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0" w:right="419" w:bottom="1440" w:gutter="0" w:footer="0" w:header="0"/>
        </w:sectPr>
      </w:pPr>
    </w:p>
    <w:bookmarkStart w:id="65" w:name="page66"/>
    <w:bookmarkEnd w:id="65"/>
    <w:p>
      <w:pPr>
        <w:ind w:right="80"/>
        <w:spacing w:after="0" w:line="253" w:lineRule="auto"/>
        <w:rPr>
          <w:sz w:val="20"/>
          <w:szCs w:val="20"/>
          <w:color w:val="auto"/>
        </w:rPr>
      </w:pPr>
      <w:r>
        <w:rPr>
          <w:rFonts w:ascii="Times New Roman" w:cs="Times New Roman" w:eastAsia="Times New Roman" w:hAnsi="Times New Roman"/>
          <w:sz w:val="18"/>
          <w:szCs w:val="18"/>
          <w:color w:val="auto"/>
        </w:rPr>
        <w:t>invalidated the approval by the FDA of mifepristone, a drug product which was originally approved in 2000 and whose distribution is governed by various measures adopted under a REMS. The U.S.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(anti-abortion doctors and organizations) did not have standing to bring this legal action against the FDA. On October 11, 2024, the Attorneys General of three states (Missouri, Idaho and Kansas) filed an amended complaint in the district court in Texas challenging FDA’s actions. On January 16, 2025, the district court agreed to allow these states to file an amended complaint and continue to pursue this challenge. Thereafter, on September 30, 2025, the district court declined to dismiss the case and, instead, transferred it to federal district court in the Eastern District of Missouri. Depending on the outcome of this litigation, our ability to develop new drug product candidates and to maintain approval of existing drug products could be delayed, undermined or subject to protracted litigation.</w:t>
      </w:r>
    </w:p>
    <w:p>
      <w:pPr>
        <w:spacing w:after="0" w:line="19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addition, we could be adversely affected by several significant administrative law cases decided by the U.S. Supreme Court in 2024. In Loper Bright Enterprises v. Raimondo, for example, the court overruled Chevron U.S.A., Inc. v. Natural Resources Defense Council, Inc., which for 40 years required 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Administrative Procedure Act, or the APA. Additionally, in Corner Post, Inc. v. Board of Governors of the Federal Reserve System,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Securities and Exchange Commission v. Jarkesy,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19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approval that we may have obtained and we may not achieve or sustain profitability. Further, any government investigation of alleged violations of law could require us to expend significant time and resources in response and could generate negative publicity. The occurrence of any event or penalty described above may inhibit our ability to commercialize any drug product candidates we develop and adversely affect our business, financial condition, results of operations, and prospects.</w:t>
      </w:r>
    </w:p>
    <w:p>
      <w:pPr>
        <w:spacing w:after="0" w:line="18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spacing w:after="0" w:line="183"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our products will be limited by indication. If we fail to comply or are found to be in violation of FDA regulations restricting the promotion of our products for unapproved uses, we could be subject to criminal penalties, substantial fines or other sanctions and damage awards.</w:t>
      </w:r>
    </w:p>
    <w:p>
      <w:pPr>
        <w:spacing w:after="0" w:line="175"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Physicians may nevertheless prescribe our products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our products for unapproved uses. We also cannot be sure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that our employees will comply with company policies and applicable regulations regarding the promotion of products for unapproved uses.</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non-promotional,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1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addition, under guidance from the FDA and the Pre-Approval Information Exchange Act, or PIE Act, signed into law as part of the Consolidated Appropriations Act of 2023, companies may also promote information that is consistent with the prescribing information and proactively speak to formulary committee members of payors regarding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U.S. Department of Justice and various U.S. Attorneys’ Offices, the Office of Inspector General of HHS,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19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8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from funding cuts, personnel losses, regulatory reform, government shutdowns and other developments could hinder our ability to obtain guidance from the FDA regarding our clinical development program, progress development efficiently, and secure approval of our product candidates in a timely manner, which would negatively impact our business.</w:t>
      </w:r>
    </w:p>
    <w:p>
      <w:pPr>
        <w:spacing w:after="0" w:line="17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FDA and comparable regulatory agencies in foreign jurisdictions, such as the EMA and Committee for Medicinal Products for Human Use,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These actions and the resulting recent loss of FDA leadership and personnel could lead to disruptions and delays in FDA guidance, review and approval of our product candidate. For example, on July 14, 2025, following litigation reaching the U.S. Supreme Court, the administration began to carry out these layoffs across HHS, including the FDA. In November 2025, a Congressional Continuing Resolution ended the government shutdown, providing full-year funding for the FDA for FY 2026 through September 30, 2026 at approximately $7 billion with a slight increase in user fees for drug and device companies.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While the FDA’s review of marketing applications and other activities for new drugs and biologics is largely funded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67" w:name="page68"/>
    <w:bookmarkEnd w:id="67"/>
    <w:p>
      <w:pPr>
        <w:spacing w:after="0" w:line="255" w:lineRule="auto"/>
        <w:rPr>
          <w:sz w:val="20"/>
          <w:szCs w:val="20"/>
          <w:color w:val="auto"/>
        </w:rPr>
      </w:pPr>
      <w:r>
        <w:rPr>
          <w:rFonts w:ascii="Times New Roman" w:cs="Times New Roman" w:eastAsia="Times New Roman" w:hAnsi="Times New Roman"/>
          <w:sz w:val="18"/>
          <w:szCs w:val="18"/>
          <w:color w:val="auto"/>
        </w:rPr>
        <w:t>through the user fee program established under the Prescription Drug User Fee Act, or PDUFA, it remains unclear how the administration’s efforts to reduce the workforce of HHS and budget cuts will impact this program and the ability of the FDA to provide guidance and review our product candidates in a timely manner. For example, while the reduction in workforce did not reportedly specifically target FDA reviewers, many operations, administrative and policy staff that help support such reviews were affected and those losses could lead to delays in PDUFA reviews and related activities. In addition, while currently unclear, there is a risk that the reduction in workforce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w:t>
      </w:r>
    </w:p>
    <w:p>
      <w:pPr>
        <w:spacing w:after="0" w:line="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There is also substantial uncertainty as to how regulatory reform measures being implemented by the Trump Administration across the government will impact the FDA and other federal agencies with jurisdiction over our activities. For example, since taking office, President Trump has issued a number of executive orders that could have a significant impact on the manner in which the FDA conducts its operations and engages in regulatory and oversight activities. If these or other orders or executive actions impose constraints on the FDA’s ability to engage in oversight and implementation activities in the normal course, our business may be negatively impacted.</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Similarly, actions by the U.S. government have significantly disrupted the operations of U.S. government agencies such as the National Institutes of Health, National Science Foundation, Centers for Disease Control and Prevention, and 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government funding of government agencies on which our operations may rely, including those that fund research and development activities, is subject to the political process, which is inherently fluid and unpredictable. For example, the federal government shut down on October 1, 2025, and did not reopen for 43 days. With the shutdown, the FDA issued a public notice stating that agency operations would continue to the extent permitted by law, such as activities necessary to address imminent threats to the safety of human life and activities funded by carryover user fee funds. The FDA declared that, during the shutdown period, it did not have legal authority to accept user fees assessed for FY 2026 until an FY 2026 appropriation or Continuing Resolution for the FDA was enacted. As a result, the FDA was not able to accept any regulatory submissions for FY 2026 that required a fee payment and that was submitted during the lapse period. In addition, the FDA indicated that some of its regulatory science research, crucial for advancing product innovation, safety, and quality, would be curtailed during the lapse period.</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At the same time, disruptions at the FDA and other government agencies may result from public health events similar to the COVID-19 pandemic. For example,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Accordingly, if any of the foregoing developments and others impact the ability of the FDA to provide us with guidance regarding our clinical development programs or delay the agency’s review and processing of our regulatory submissions, including INDs and NDAs/BLAs, our business would be negatively impacted. Further, any future government shutdown could impact our ability to access the public markets and obtain necessary capital in order to properly capitalize and continue our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68" w:name="page69"/>
    <w:bookmarkEnd w:id="68"/>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of our drug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75" w:lineRule="exact"/>
        <w:rPr>
          <w:sz w:val="20"/>
          <w:szCs w:val="20"/>
          <w:color w:val="auto"/>
        </w:rPr>
      </w:pPr>
    </w:p>
    <w:p>
      <w:pPr>
        <w:ind w:left="1140" w:right="80" w:hanging="383"/>
        <w:spacing w:after="0" w:line="26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39" w:lineRule="exact"/>
        <w:rPr>
          <w:rFonts w:ascii="Times New Roman" w:cs="Times New Roman" w:eastAsia="Times New Roman" w:hAnsi="Times New Roman"/>
          <w:sz w:val="18"/>
          <w:szCs w:val="18"/>
          <w:color w:val="auto"/>
        </w:rPr>
      </w:pPr>
    </w:p>
    <w:p>
      <w:pPr>
        <w:ind w:left="1140" w:right="40" w:hanging="383"/>
        <w:spacing w:after="0" w:line="26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criminal and civil penalties, including civil whistleblower or qui tam actions, against individuals or entities for knowingly presenting, or causing to be presented, to the federal government, claims for payment or approval from Medicare, Medicaid, or other government payors that are false or fraudulent or making a false statement to avoid, decrease, or conceal an obligation to pay money to the federal government, with potential liability including mandatory treble damages and significant per-claim penalties;</w:t>
      </w:r>
    </w:p>
    <w:p>
      <w:pPr>
        <w:spacing w:after="0" w:line="152" w:lineRule="exact"/>
        <w:rPr>
          <w:rFonts w:ascii="Times New Roman" w:cs="Times New Roman" w:eastAsia="Times New Roman" w:hAnsi="Times New Roman"/>
          <w:sz w:val="18"/>
          <w:szCs w:val="18"/>
          <w:color w:val="auto"/>
        </w:rPr>
      </w:pPr>
    </w:p>
    <w:p>
      <w:pPr>
        <w:ind w:left="1140" w:right="340" w:hanging="383"/>
        <w:spacing w:after="0" w:line="26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as further amended by the Health Information Technology for Economic and Clinical Health Act, which imposes certain requirements, including mandatory contractual terms, with respect to safeguarding the privacy, security, and transmission of individually identifiable health information without appropriate authorization by entities subject to the rule, such as health plans, health care clearinghouses, and health care providers;</w:t>
      </w:r>
    </w:p>
    <w:p>
      <w:pPr>
        <w:spacing w:after="0" w:line="139" w:lineRule="exact"/>
        <w:rPr>
          <w:rFonts w:ascii="Times New Roman" w:cs="Times New Roman" w:eastAsia="Times New Roman" w:hAnsi="Times New Roman"/>
          <w:sz w:val="18"/>
          <w:szCs w:val="18"/>
          <w:color w:val="auto"/>
        </w:rPr>
      </w:pPr>
    </w:p>
    <w:p>
      <w:pPr>
        <w:ind w:left="1140" w:right="40" w:hanging="383"/>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21" w:lineRule="exact"/>
        <w:rPr>
          <w:rFonts w:ascii="Times New Roman" w:cs="Times New Roman" w:eastAsia="Times New Roman" w:hAnsi="Times New Roman"/>
          <w:sz w:val="18"/>
          <w:szCs w:val="18"/>
          <w:color w:val="auto"/>
        </w:rPr>
      </w:pPr>
    </w:p>
    <w:p>
      <w:pPr>
        <w:ind w:left="1140" w:hanging="383"/>
        <w:spacing w:after="0" w:line="26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federal Physician Payment Sunshine Act, which requires manufacturers of drugs, devices, biologics, and medical supplies to report to HHS information related to payments and other transfers of value to physicians, other healthcare providers and teaching hospitals, and ownership and investment interests held by physicians and their immediate family members and applicable group purchasing organizations; and</w:t>
      </w:r>
    </w:p>
    <w:p>
      <w:pPr>
        <w:spacing w:after="0" w:line="152" w:lineRule="exact"/>
        <w:rPr>
          <w:rFonts w:ascii="Times New Roman" w:cs="Times New Roman" w:eastAsia="Times New Roman" w:hAnsi="Times New Roman"/>
          <w:sz w:val="18"/>
          <w:szCs w:val="18"/>
          <w:color w:val="auto"/>
        </w:rPr>
      </w:pPr>
    </w:p>
    <w:p>
      <w:pPr>
        <w:ind w:left="1140" w:right="160" w:hanging="383"/>
        <w:spacing w:after="0" w:line="258"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and certain state laws that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w:t>
      </w:r>
    </w:p>
    <w:p>
      <w:pPr>
        <w:spacing w:after="0" w:line="35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180"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9" w:name="page70"/>
    <w:bookmarkEnd w:id="69"/>
    <w:p>
      <w:pPr>
        <w:ind w:right="160"/>
        <w:spacing w:after="0" w:line="266" w:lineRule="auto"/>
        <w:rPr>
          <w:sz w:val="20"/>
          <w:szCs w:val="20"/>
          <w:color w:val="auto"/>
        </w:rPr>
      </w:pPr>
      <w:r>
        <w:rPr>
          <w:rFonts w:ascii="Times New Roman" w:cs="Times New Roman" w:eastAsia="Times New Roman" w:hAnsi="Times New Roman"/>
          <w:sz w:val="18"/>
          <w:szCs w:val="18"/>
          <w:color w:val="auto"/>
        </w:rPr>
        <w:t>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commercial third-party payors or government payors fail to provide coverage or adequate reimbursement, our revenue and prospects for profitability would be harmed.</w:t>
      </w:r>
    </w:p>
    <w:p>
      <w:pPr>
        <w:spacing w:after="0" w:line="186"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There is increasing pressure on biotechnology and pharmaceutical companies to reduce healthcare costs. In the United States, these pressures come from a variety of sources, such as managed care groups and institutional and government purchasers. Increased purchasing power of entities that negotiate on behalf of federal healthcare programs and private sector beneficiaries could increase pricing pressures in the future. Such pressures may also increase the risk of litigation or investigation by the government regarding pricing calculations. The biotechnology and pharmaceutical industries will likely face greater regulation and political and legal actions in the future.</w:t>
      </w:r>
    </w:p>
    <w:p>
      <w:pPr>
        <w:spacing w:after="0" w:line="210"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There is increased uncertainty related to the insurance coverage and reimbursement of newly approved products. In the United States, the principal decisions about reimbursement for new products are typically made by the Centers for Medicare &amp; Medicaid Services, or CMS, an agency within HHS, as CMS decides whether and to what extent a new product will be covered and reimbursed under Medicare. Private payors tend to follow CMS to a substantial degree. It is difficult to predict what CMS will decide with respect to reimbursement. Adverse pricing limitations may hinder our ability to recoup our investment in one or more future drug product candidates, even if our future drug product candidates obtain regulatory approval. Adverse pricing limitations prior to approval will also adversely affect us by reducing our commercial potential. Our ability to commercialize any potential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payors, such as private health insurers, pharmacy benefit managers, and health maintenance organizations, decide which medications they will pay for and establish reimbursement levels.</w:t>
      </w:r>
    </w:p>
    <w:p>
      <w:pPr>
        <w:spacing w:after="0" w:line="221"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A significant trend in the U.S. healthcare industry and elsewhere is cost containment. Government authorities and these third-party payors have attempted to control costs by limiting coverage and the amount of reimbursement for particular medications. Increasingly, third-party payors are requiring that companies provide them with predetermined discounts from list prices and are challenging the prices charged for medical products. We cannot be sure that coverage and reimbursement will be available for any product that we commercialize in the future and, if reimbursement is available, what the level of reimbursement will be. Reimbursement may impact the demand for, or the price of, any product for which we obtain marketing approval in the future. If reimbursement is not available or is available only to limited levels, we may not be able to successfully commercialize any product candidate that we successfully develop.</w:t>
      </w:r>
    </w:p>
    <w:p>
      <w:pPr>
        <w:spacing w:after="0" w:line="21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approved products, and coverage may be more limited than the purposes for which the product is approved by the FDA or regulatory authorities in other countries.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profitable payment rates from both government funded and private payors for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0" w:name="page71"/>
    <w:bookmarkEnd w:id="70"/>
    <w:p>
      <w:pPr>
        <w:ind w:right="100"/>
        <w:spacing w:after="0" w:line="282" w:lineRule="auto"/>
        <w:rPr>
          <w:sz w:val="20"/>
          <w:szCs w:val="20"/>
          <w:color w:val="auto"/>
        </w:rPr>
      </w:pPr>
      <w:r>
        <w:rPr>
          <w:rFonts w:ascii="Times New Roman" w:cs="Times New Roman" w:eastAsia="Times New Roman" w:hAnsi="Times New Roman"/>
          <w:sz w:val="18"/>
          <w:szCs w:val="18"/>
          <w:color w:val="auto"/>
        </w:rPr>
        <w:t>future products that we develop could have a material adverse effect on our operating results, our ability to raise capital needed to commercialize potential products and our overall financial condition.</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drug product candidates and affect the prices we may obtain for any products that are approved in the United States or foreign jurisdictions.</w:t>
      </w:r>
    </w:p>
    <w:p>
      <w:pPr>
        <w:spacing w:after="0" w:line="5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drug product candidates, restrict or regulate post-approval activities and affect our ability to profitably sell any drug product candidates for which we obtain marketing approval. The pharmaceutical industry has been a particular focus of these efforts and have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6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48"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March 2010, the PPACA was signed into law. In addition,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pursuant to the Coronavirus Aid, Relief, and Economic Security Act, or the CARES Act.</w:t>
      </w:r>
    </w:p>
    <w:p>
      <w:pPr>
        <w:spacing w:after="0" w:line="14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drug product candidates for which we may obtain regulatory approval or the frequency with which any such product candidate is prescribed or used. Indeed, under current legislation, the actual reductions in Medicare payments may vary up to 4%. The Consolidated Appropriations Act, which was signed into law in December 2022, made several changes to sequestration of the Medicare program. Section 1001 of the Act delays the 4% Statutory Pay-As-You-Go Act of 2010, or PAYGO, sequester for two years, through the end of calendar year 2024. Triggered by enactment of the American Rescue Plan Act of 2021, the 4% cut to the Medicare program would have taken effect in January 2023. The Act’s healthcare offset title includes Section 4163, which extends the 2% Budget Control Act of 2011 Medicare sequester for six months into fiscal year 2032 and lowers the payment reduction percentages in fiscal years 2030 and 2031.</w:t>
      </w:r>
    </w:p>
    <w:p>
      <w:pPr>
        <w:spacing w:after="0" w:line="161" w:lineRule="exact"/>
        <w:rPr>
          <w:sz w:val="20"/>
          <w:szCs w:val="20"/>
          <w:color w:val="auto"/>
        </w:rPr>
      </w:pPr>
    </w:p>
    <w:p>
      <w:pPr>
        <w:jc w:val="both"/>
        <w:ind w:right="60" w:firstLine="749"/>
        <w:spacing w:after="0" w:line="258" w:lineRule="auto"/>
        <w:rPr>
          <w:sz w:val="20"/>
          <w:szCs w:val="20"/>
          <w:color w:val="auto"/>
        </w:rPr>
      </w:pPr>
      <w:r>
        <w:rPr>
          <w:rFonts w:ascii="Times New Roman" w:cs="Times New Roman" w:eastAsia="Times New Roman" w:hAnsi="Times New Roman"/>
          <w:sz w:val="18"/>
          <w:szCs w:val="18"/>
          <w:color w:val="auto"/>
        </w:rPr>
        <w:t>Since enactment of the PPACA, there have been, and continue to be, numerous legal challenges and Congressional actions to repeal and replace provisions of the law. For example, with enactment of the Tax Cuts and Jobs Act of 2017, or the TCJA, Congress repealed the “individual mandate.” The repeal of this provision, which requires most Americans to carry a minimal level of health insurance, became effective in 2019. Further, on June 17, 2021, the U.S. Supreme Court dismissed an action challenging the PPACA after finding that the plaintiffs did not have standing to challenge the constitutionality of the law. Litigation and legislation over the PPACA are likely to continue, with unpredictable and uncertain results.</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prescription pharmaceuticals in the United States and foreign jurisdictions are subject to considerable legislative and executive actions and could impact the prices we obtain for our products, if approved.</w:t>
      </w:r>
    </w:p>
    <w:p>
      <w:pPr>
        <w:spacing w:after="0" w:line="64"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The prices of prescription pharmaceuticals have been the subject of considerable legislative and executive actions in the United States.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71" w:name="page72"/>
    <w:bookmarkEnd w:id="71"/>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drugs from Canada. Certain of these states have submitted Section 804 Importation Program proposals and are awaiting FDA approval. Florida now has authority to import certain products from Canada for a period of two years once certain conditions are met. Florida will first need to submit a pre-import request for each product selected for importation, which must be approved by the FDA. Florida will also need to relabel the products and perform quality testing of the products to meet FDA standards. On May 21, 2025, the FDA announced that it would offer individual states the opportunity to submit a draft proposal for pre-review and meet with the agency to obtain initial feedback from the FDA prior to formally submitting their section 804 importation program, or SIP, proposal. The intent of these meetings is to assist states in developing their proposals by further clarifying requirements, enhancing the quality of proposals submitted to the FDA and ultimately shortening the review timeline.</w:t>
      </w:r>
    </w:p>
    <w:p>
      <w:pPr>
        <w:spacing w:after="0" w:line="192" w:lineRule="exact"/>
        <w:rPr>
          <w:sz w:val="20"/>
          <w:szCs w:val="20"/>
          <w:color w:val="auto"/>
        </w:rPr>
      </w:pPr>
    </w:p>
    <w:p>
      <w:pPr>
        <w:ind w:right="40" w:firstLine="794"/>
        <w:spacing w:after="0" w:line="258"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final rule would eliminate the current safe harbor for Medicare drug rebates and create new safe harbors for beneficiary point-of-sale discounts and pharmacy benefit manager service fees. It originally was set to go into effect on January 1, 2022, but with passage of the Inflation Reduction Act of 2022, or IRA, has been delayed by Congress to January 1, 2032.</w:t>
      </w:r>
    </w:p>
    <w:p>
      <w:pPr>
        <w:spacing w:after="0" w:line="183"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More recently, on August 16, 2022, the IRA was signed into law by the President of the United States.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and it replaces the Part D coverage gap discount program with a new discounting program (beginning in 2025). In addition, the IRA established inflation rebate programs under Medicare Part B and Part D. These programs require 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IRA permits the Secretary of HHS to implement many of these provisions through guidance, as opposed to regulation, for the initial years.</w:t>
      </w:r>
    </w:p>
    <w:p>
      <w:pPr>
        <w:spacing w:after="0" w:line="18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and biologics that have been licensed for 13 years. With passage of the OBBBA, on July 3, 2025, which was signed into law on July 4, 2025, Congress extended this exemption to drugs and biologics with multiple orphan drug designations.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18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15 drugs will become effective on January 1, 2027. On January 27, 2026, CMS published the list of 15 drugs selected for the third cycle of negotiations. These negotiated prices will become effective on January 1, 2028.</w:t>
      </w:r>
    </w:p>
    <w:p>
      <w:pPr>
        <w:spacing w:after="0" w:line="180"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On June 6, 2023, Merck &amp; Co. filed a lawsuit against HHS and CMS asserting that, among other things, the IRA’s Drug Price Negotiation Program for Medicare constitutes an uncompensated taking in violation of the Fifth Amendment of the Constitution. Subsequently, a number of other parties also filed lawsuits in various courts with similar constitutional claims. HHS has generally won the substantive disputes in these cases or succeeded in getting claims dismissed for lack of standing or on the merits. For example, on May 8, 2025, the U.S. Court of Appeals for the Third Circuit rejected AstraZeneca L.P.’s challenge to the Medicare price negotiation program, finding that the program did not violate the company’s due process rights under the Constitution. Litigation involving these and other provisions of the IRA will continue with unpredictable and uncertain results.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2" w:name="page73"/>
    <w:bookmarkEnd w:id="72"/>
    <w:p>
      <w:pPr>
        <w:ind w:firstLine="749"/>
        <w:spacing w:after="0" w:line="253" w:lineRule="auto"/>
        <w:rPr>
          <w:sz w:val="20"/>
          <w:szCs w:val="20"/>
          <w:color w:val="auto"/>
        </w:rPr>
      </w:pPr>
      <w:r>
        <w:rPr>
          <w:rFonts w:ascii="Times New Roman" w:cs="Times New Roman" w:eastAsia="Times New Roman" w:hAnsi="Times New Roman"/>
          <w:sz w:val="18"/>
          <w:szCs w:val="18"/>
          <w:color w:val="auto"/>
        </w:rPr>
        <w:t>The legislation also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In addition to the drug price negotiation program, the IRA established inflation rebate programs under Medicare Part B and Part D. These programs require 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new law also caps Medicare out-of-pocket drug costs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placing price caps on annual out-of-pocket expenses, each of which could have potential pricing and reporting implications.</w:t>
      </w:r>
    </w:p>
    <w:p>
      <w:pPr>
        <w:spacing w:after="0" w:line="19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76"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addition, the Trump Administration has taken a number of actions to reduce the costs of pharmaceutical products. For example, on April 15, 2025, President Trump issued an Executive Order which directs HHS to take steps to reduce the prices of pharmaceutical products. Such measures include streamlining the state drug importation program and modifying provisions of the 340B program. Further, on May 12, 2025, President Trump issued an additional Executive Order calling on pharmaceutical manufacturers to voluntarily reduce the prices of medicines in the United States. The Order provides that if such actions do not lower the costs of pharmaceuticals, the Secretary of HHS would pursue other actions, including proposing a rulemaking that imposes MFN pricing in the United States. Thereafter, on July 31, 2025, President Trump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Since that time, virtually all of these pharmaceutical companies have entered into agreements with the administration to provide for lower prices on certain pharmaceuticals. On February 5, 2026, President Trump launched TrumpRx.gov, a website that directs individuals to pharmaceutical manufacturer websites that are offering price discounts based on the administration’s pricing agreements with pharmaceutical manufacturers.</w:t>
      </w:r>
    </w:p>
    <w:p>
      <w:pPr>
        <w:spacing w:after="0" w:line="192"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referred to as GLOBE, and the Guarding U.S. Medicare Against Rising Drug Costs for Medicare Part D drugs, referred to as GUARD. Under the proposed pilot programs, a manufacturer would owe rebates to Medicare if prices for their drugs exceeded the prices paid by other economically comparable reference countries, defined in the proposed regulations as OECD countries with a GDP of $400 billion and a per capita GDP that is at least 60% of the U.S. per capita GDP (an initial list of 19 reference countries is included in the proposed rule). Comments are due on the proposed pilot program rules on or before February 23, 2026, and the pilot programs are proposed to go into effect beginning October 1, 2026.</w:t>
      </w:r>
    </w:p>
    <w:p>
      <w:pPr>
        <w:spacing w:after="0" w:line="192"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organizations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drug product candidates or additional pricing pressures. This may be increasingly true with respect to products approved pursuant to the accelerated approval pathway. State Medicaid programs and other payers are developing strategies and implementing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73" w:name="page74"/>
    <w:bookmarkEnd w:id="73"/>
    <w:p>
      <w:pPr>
        <w:ind w:right="360"/>
        <w:spacing w:after="0" w:line="282" w:lineRule="auto"/>
        <w:rPr>
          <w:sz w:val="20"/>
          <w:szCs w:val="20"/>
          <w:color w:val="auto"/>
        </w:rPr>
      </w:pPr>
      <w:r>
        <w:rPr>
          <w:rFonts w:ascii="Times New Roman" w:cs="Times New Roman" w:eastAsia="Times New Roman" w:hAnsi="Times New Roman"/>
          <w:sz w:val="18"/>
          <w:szCs w:val="18"/>
          <w:color w:val="auto"/>
        </w:rPr>
        <w:t>significant coverage barriers, or refusing to cover these products outright, arguing that accelerated approval drugs have insufficient or limited evidence despite meeting the FDA’s standards for accelerated approval.</w:t>
      </w:r>
    </w:p>
    <w:p>
      <w:pPr>
        <w:spacing w:after="0" w:line="16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drug product candidate to other available therapies. If reimbursement of our products is unavailable or limited in scope or amount, or if pricing is set at unsatisfactory levels, our business could be harmed, possibly materially.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HIPAA security, privacy and breach notification regulations may increase our costs.</w:t>
      </w:r>
    </w:p>
    <w:p>
      <w:pPr>
        <w:spacing w:after="0" w:line="25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207" w:lineRule="exact"/>
        <w:rPr>
          <w:sz w:val="20"/>
          <w:szCs w:val="20"/>
          <w:color w:val="auto"/>
        </w:rPr>
      </w:pPr>
    </w:p>
    <w:p>
      <w:pPr>
        <w:ind w:left="1140" w:right="440" w:hanging="383"/>
        <w:spacing w:after="0" w:line="312" w:lineRule="auto"/>
        <w:tabs>
          <w:tab w:leader="none" w:pos="11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99"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patient’s rights to access, amend and receive an accounting of certain disclosures of PHI;</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notify individuals if there is a breach of their PHI;</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notices of privacy practices for PHI;</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technical and physical safeguards required of entities that use or receive PHI; and</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computing systems maintaining electronic PHI.</w:t>
      </w:r>
    </w:p>
    <w:p>
      <w:pPr>
        <w:spacing w:after="0" w:line="18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of those countries, we must comply with the laws of those countries. The federal privacy regulations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 parties who are legally obligated to safeguard and maintain the confidentiality of PHI. Unauthorized persons may be able to gain access to PHI stored in such third-parties computer networks. Any wrongful use or disclosure of PHI by us or such third parties, including disclosure due to data theft or unauthorized access to our or our third-parties computer networks, could subject us to fines or penalties that could adversely affect our business and results of operations. Although the HIPAA statute and regulations do not expressly provide for a private right of damages, we could also incur damages under state laws to private parties for the wrongful use or disclosure of confidential health information or other private personal information.</w:t>
      </w:r>
    </w:p>
    <w:p>
      <w:pPr>
        <w:spacing w:after="0" w:line="255"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regulatory framework for the collection, use, safeguarding, sharing, transfer and other processing of information worldwide is rapidly evolving and is likely to remain uncertain for the foreseeable future. Globally, virtually every jurisdiction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74" w:name="page75"/>
    <w:bookmarkEnd w:id="74"/>
    <w:p>
      <w:pPr>
        <w:ind w:right="40"/>
        <w:spacing w:after="0" w:line="254" w:lineRule="auto"/>
        <w:rPr>
          <w:sz w:val="20"/>
          <w:szCs w:val="20"/>
          <w:color w:val="auto"/>
        </w:rPr>
      </w:pPr>
      <w:r>
        <w:rPr>
          <w:rFonts w:ascii="Times New Roman" w:cs="Times New Roman" w:eastAsia="Times New Roman" w:hAnsi="Times New Roman"/>
          <w:sz w:val="18"/>
          <w:szCs w:val="18"/>
          <w:color w:val="auto"/>
        </w:rPr>
        <w:t>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EEA in May 2018. In the UK, the GDPR is retained in domestic law as the UK GDPR and sits alongside an amended version of the UK Data Protection Act of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w:t>
      </w:r>
    </w:p>
    <w:p>
      <w:pPr>
        <w:spacing w:after="0" w:line="8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of the respective group of companies or €20 million,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spacing w:after="0" w:line="86"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GDPR places restrictions on the cross-border transfer of personal data from the EU to countries that have not been found by the European Commission to offer adequate data protection legislation. There are ongoing concerns about the ability of companies to transfer personal data from the EU to other countries. In July 2020, the Court of Justice of the EU, or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international transfers of personal data from the EEA. This CJEU decision resulted in increased scrutiny on data transfers and increased our costs of compliance with data privacy legislation as well as our costs of negotiating appropriate privacy and security agreements with our vendors and business partners.</w:t>
      </w:r>
    </w:p>
    <w:p>
      <w:pPr>
        <w:spacing w:after="0" w:line="8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October 2022, President Biden signed an executive order to implement the EU-U.S. Data Privacy Framework, which serves as a replacement to the EU-U.S. Privacy Shield. The European Commission adopted the adequacy decision on July 10, 2023. The adequacy decision permits U.S. companies who self-certify to the EU-U.S. Data Privacy Framework to rely on it as a valid data transfer mechanism for data transfers from the EU to the U.S. However, some privacy advocacy groups have already suggested that they will be challenging the EU-U.S. Data Privacy Framework, and there is currently one pending litigation against the EU-U.S. Data Privacy Framework before the Court of Justice of the European Union (CJEU), C-703/25 P – Latombe v. Commission. If these challenges are successful, they may not only impact the EU-U.S. Data Privacy Framework, but also further limit the viability of the standard contractual clauses and other data transfer mechanisms. The uncertainty around this issue has the potential to impact our business. Following the withdrawal of the UK from the EU, the UK Data Protection Act of 2018 applies to the processing of personal data that takes place in the UK and includes parallel obligations to those set forth by GDPR. In relation to data transfers, both the UK and the EU have determined, through separate “adequacy” decisions, that data transfers between the two jurisdictions are in compliance with the UK Data Protection Act of 2018 and the GDPR, respectively. The UK and the U.S. have also agreed to a U.S.-UK “Data Bridge”, which functions similarly to the EU-U.S. Data Privacy Framework and provides an additional legal mechanism for companies to transfer data from the UK to the U.S. In addition to the UK, Switzerland is also in the process of approving an adequacy decision in relation to the Swiss-U.S. Data Privacy Framework (which would function similarly to the EU-U.S. Data Privacy Framework and the U.S.-UK Data Bridge in relation to data transfers from Switzerland to the U.S.). Any changes or updates to these developments have the potential to impact our business.</w:t>
      </w:r>
    </w:p>
    <w:p>
      <w:pPr>
        <w:spacing w:after="0" w:line="88"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spacing w:after="0" w:line="7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75" w:name="page76"/>
    <w:bookmarkEnd w:id="75"/>
    <w:p>
      <w:pPr>
        <w:spacing w:after="0" w:line="255" w:lineRule="auto"/>
        <w:rPr>
          <w:sz w:val="20"/>
          <w:szCs w:val="20"/>
          <w:color w:val="auto"/>
        </w:rPr>
      </w:pPr>
      <w:r>
        <w:rPr>
          <w:rFonts w:ascii="Times New Roman" w:cs="Times New Roman" w:eastAsia="Times New Roman" w:hAnsi="Times New Roman"/>
          <w:sz w:val="18"/>
          <w:szCs w:val="18"/>
          <w:color w:val="auto"/>
        </w:rPr>
        <w:t>expose us to risk of enforcement actions taken by data protection authorities in the EEA and elsewhere and carries with it the potential for significant penalties if we are found to be non-compliant. Similarly, failure to comply with federal and state laws in the U.S.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29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federal and state privacy laws, information security laws, regulations, policies, and contractual obligations and failure to comply with such requirements could subject us to significant fines and penalties, which may have a material adverse effect on our business, financial condition or results of operations.</w:t>
      </w:r>
    </w:p>
    <w:p>
      <w:pPr>
        <w:spacing w:after="0" w:line="17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at the federal and state levels of government that apply to the collection, transmission, storage and use of personally identifying information, which among other things, impose certain requirements relating to the privacy, security and transmission of personal information. Failure to comply with any of these laws and regulations could result in enforcement actions against us, including fines, claims for damages by affected individuals, damage to our reputation and loss of goodwill, any of which could have a material adverse effect on our business, financial condition, results of operations or prospects.</w:t>
      </w:r>
    </w:p>
    <w:p>
      <w:pPr>
        <w:spacing w:after="0" w:line="11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to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187" w:lineRule="exact"/>
        <w:rPr>
          <w:sz w:val="20"/>
          <w:szCs w:val="20"/>
          <w:color w:val="auto"/>
        </w:rPr>
      </w:pPr>
    </w:p>
    <w:p>
      <w:pPr>
        <w:ind w:right="80" w:firstLine="794"/>
        <w:spacing w:after="0" w:line="255"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 out of “sales” of their personal information. The CCPA contains significant penalties for companies that violate its requirements.</w:t>
      </w:r>
    </w:p>
    <w:p>
      <w:pPr>
        <w:spacing w:after="0" w:line="18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w:t>
      </w:r>
    </w:p>
    <w:p>
      <w:pPr>
        <w:spacing w:after="0" w:line="18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addition to California, a number of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76" w:name="page77"/>
    <w:bookmarkEnd w:id="76"/>
    <w:p>
      <w:pPr>
        <w:ind w:right="100"/>
        <w:spacing w:after="0" w:line="255" w:lineRule="auto"/>
        <w:rPr>
          <w:sz w:val="20"/>
          <w:szCs w:val="20"/>
          <w:color w:val="auto"/>
        </w:rPr>
      </w:pPr>
      <w:r>
        <w:rPr>
          <w:rFonts w:ascii="Times New Roman" w:cs="Times New Roman" w:eastAsia="Times New Roman" w:hAnsi="Times New Roman"/>
          <w:sz w:val="18"/>
          <w:szCs w:val="18"/>
          <w:color w:val="auto"/>
        </w:rPr>
        <w:t>“sensitive” data, which includes health data in some cases. Some of the provisions of these laws may apply to our business activities. There are also states that are strongly considering additional laws that will go into effect in 2026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a health privacy law that regulates the collection and sharing of health information.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Given the breadth and depth of changes in data protection obligations, complying with the GDPR’s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could lead to government enforcement actions, private litigation and significant fines and penalties against us, all of which could increase our cost of doing business and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94"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Further,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7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drug product candidates outside of the United States and require us to develop and implement costly compliance programs.</w:t>
      </w:r>
    </w:p>
    <w:p>
      <w:pPr>
        <w:spacing w:after="0" w:line="15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23" w:right="379" w:bottom="1440" w:gutter="0" w:footer="0" w:header="0"/>
        </w:sectPr>
      </w:pPr>
    </w:p>
    <w:bookmarkStart w:id="77" w:name="page78"/>
    <w:bookmarkEnd w:id="77"/>
    <w:p>
      <w:pPr>
        <w:ind w:firstLine="749"/>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U.S. Department of Justice. The SEC is involved with enforcement of the books and records provisions of the FCPA.</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February 10, 2025, President Trump issued an Executive Order directing the Attorney General to review the guidelines and policies governing FCPA investigations and enforcement actions. Per the Executive Order, this review will result in new U.S. Department of Justice FCPA guidelines intended to enhance American economic competitiveness and to safeguard national security interests. During the 180-day review period, any new FCPA investigations and enforcement actions are to be suspended absent authorization from the Attorney General, and all existing FCPA investigations and enforcement actions will be reviewed. Additionally, after the Attorney General issues revised guidelines, the Executive Order directs her to assess whether “remedial measures” related to past FCPA actions are warranted. We will need to carefully navigate these developments.</w:t>
      </w:r>
    </w:p>
    <w:p>
      <w:pPr>
        <w:spacing w:after="0" w:line="18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product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88" w:lineRule="exact"/>
        <w:rPr>
          <w:sz w:val="20"/>
          <w:szCs w:val="20"/>
          <w:color w:val="auto"/>
        </w:rPr>
      </w:pPr>
    </w:p>
    <w:p>
      <w:pPr>
        <w:ind w:right="120" w:firstLine="74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business operations will subject us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materials. Our operations also may produce hazardous waste products. We expect to generally contract with third parties for the disposal of these materials and wastes. However,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In addition, we may be required to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and we may not have sufficient (or any) insurance to cover any such costs.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Our Need for Financing and Owning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anticipate future losses and negative cash flow, and it is uncertain if or when we will become profitable.</w:t>
      </w:r>
    </w:p>
    <w:p>
      <w:pPr>
        <w:spacing w:after="0" w:line="256"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do not expect to generate any commercial revenues until we successfully complete development of one or more potential products and we are able to successfully commercialize them through sales and licensing, which we expect will take a number of years, if ever. We have not yet demonstrated our ability to generate commercial revenue, and we may never be able to produce commercial revenues or operate on a profitable basis. As a result, we have incurred losses since our inception and expect to experience operating losses and negative cash flow for the foreseeable future. Our drug product candidates may never be approved or become commercially viable. Even if we and our collaborators are able to commercialize our technology, which may include licensing, we may never recover our research and development expenses.</w:t>
      </w:r>
    </w:p>
    <w:p>
      <w:pPr>
        <w:spacing w:after="0" w:line="210"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financing to support our growth and ongoing operations. Additional capital may be difficult to obtain, restrict our operations, require us to relinquish rights to our technologies or drug product candidates, encumber our assets and result in ongoing debt service cost, or result in additional dilution to our stockholders.</w:t>
      </w:r>
    </w:p>
    <w:p>
      <w:pPr>
        <w:spacing w:after="0" w:line="20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business will require additional capital for implementation of our long-term business plan and product development and commercialization. As we require additional funds, we may seek to fund our operations through the sale of additional equity securities, debt financing and/or strategic collaboration agreements. We cannot be sure that additional financing from any of these sources will be available when needed or that, if available, the additional financing will be obtained on favorable terms. Our ability to raise additional funds may be adversely impacted by general economic conditions, both inside and outside the U.S., including disruptions to, and instability and volatility in, the credit and financial markets in the U.S. and worldwide, heightened inflation, interest rate and currency rate fluctuations, the implementation of trade barriers and tariffs and economic slowdown or recession as well as concerns related to pandemic events, spread of disease and geopolitical events, including civil or political unrest. In addition, market instability and volatility, high levels of inflation and interest rate fluctuations may increase our cost of financing or restrict our access to potential sources of future liquidity.</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85" w:lineRule="exact"/>
        <w:rPr>
          <w:sz w:val="20"/>
          <w:szCs w:val="20"/>
          <w:color w:val="auto"/>
        </w:rPr>
      </w:pPr>
    </w:p>
    <w:p>
      <w:pPr>
        <w:ind w:left="114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and costs of our clinical trials, including the ability to timely enroll patients in our current and any future clinical trials;</w:t>
      </w:r>
    </w:p>
    <w:p>
      <w:pPr>
        <w:spacing w:after="0" w:line="134"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 by the FDA and comparable regulatory authorities, including the potential that the FDA or comparable regulatory authorities may require that we perform more studies than those that we currently expect;</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drug product candidates that we may in-license and develop;</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drug product candidates, if approved;</w:t>
      </w:r>
    </w:p>
    <w:p>
      <w:pPr>
        <w:spacing w:after="0" w:line="198"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sales and other revenues from drug product candidates that we may commercialize, if any, including the selling prices for such potential products and the availability of adequate third-party reimbursement;</w:t>
      </w:r>
    </w:p>
    <w:p>
      <w:pPr>
        <w:spacing w:after="0" w:line="121"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costs associated with our potential products, including the cost and timing of expanding our marketing and sales capabilities;</w:t>
      </w:r>
    </w:p>
    <w:p>
      <w:pPr>
        <w:spacing w:after="0" w:line="12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existing collaborations, licensing or other arrangements or any potential future collaborations, licensing or other arrangements that we may establish;</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requirements of any future acquisitions and/or the development of other drug product candidates;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outsourced manufacturing activities;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79" w:name="page80"/>
    <w:bookmarkEnd w:id="79"/>
    <w:p>
      <w:pPr>
        <w:ind w:left="1140" w:right="280" w:hanging="383"/>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general economic and market conditions, inflation, and the imposition of new or revised global trade tariffs;</w:t>
      </w:r>
    </w:p>
    <w:p>
      <w:pPr>
        <w:spacing w:after="0" w:line="134" w:lineRule="exact"/>
        <w:rPr>
          <w:rFonts w:ascii="Times New Roman" w:cs="Times New Roman" w:eastAsia="Times New Roman" w:hAnsi="Times New Roman"/>
          <w:sz w:val="18"/>
          <w:szCs w:val="18"/>
          <w:color w:val="auto"/>
        </w:rPr>
      </w:pPr>
    </w:p>
    <w:p>
      <w:pPr>
        <w:ind w:left="1140" w:right="760" w:hanging="383"/>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disputes which may occur between us and our employees, collaborators, including Einstein, LG Chem, BI or IMSCP or other prospective business partners; and</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252"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If we raise additional funds by selling shares of our common stock or other equity-linked securities, the ownership interest of our current stockholders will be diluted. We may seek to access the public or private capital markets whenever conditions are favorable, even if we do not have an immediate need for additional capital at that time. If we raise additional funds through collaborations, strategic alliances or marketing, distribution or licensing arrangements with third parties, we may have to relinquish valuable rights to our technologies, future revenue streams or drug product candidates or to grant licenses on terms that may not be acceptable to us. If we raise additional funds through debt financing, we may have to grant a security interest on our assets to the future lenders, our debt service costs may be substantial, and the lenders may have a preferential position in connection with any future bankruptcy or liquidation involving the company.</w:t>
      </w:r>
    </w:p>
    <w:p>
      <w:pPr>
        <w:spacing w:after="0" w:line="216"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If we are unable to raise additional capital when needed, we may be required to curtail the development of our technology or materially curtail or reduce our operations. We could be forced to sell or dispose of our rights or assets. Any inability to raise adequate funds on commercially reasonable terms could have a material adverse effect on our business, results of operations and financial condition, including the possibility that a lack of funds could cause our business to fail and the Company to dissolve and liquidate with little or no return to investors.</w:t>
      </w:r>
    </w:p>
    <w:p>
      <w:pPr>
        <w:spacing w:after="0" w:line="20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15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and we will remain a smaller reporting company until the fiscal year following the determination that our voting and non-voting shares of common stock held by non-affiliates is $250 million or more measured on the last business day of our second fiscal quarter, or our annual revenues are less than $100 million during the most recently completed fiscal year and our voting and non-voting shares of common stock held by non-affiliates is $700 million or more measured on the last business day of our second fiscal quarter. Smaller reporting companies have reduced disclosure obligations, such as an ability to provide simplified executive compensation information and only two years of audited financial statements.</w:t>
      </w:r>
    </w:p>
    <w:p>
      <w:pPr>
        <w:spacing w:after="0" w:line="18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certain of the reduced reporting obligations. Investors may find our common stock less attractive as a result of our reliance on these exemptions. If some investors find our common stock less attractive as a result, there may be a less active trading market for our common stock and our stock price may be more volatile.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can be volatile and fluctuate significantly, and our stockholders may have difficulty selling their shares and/or suffer substantial losses.</w:t>
      </w:r>
    </w:p>
    <w:p>
      <w:pPr>
        <w:spacing w:after="0" w:line="25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“CUE.” The price of our common stock has fluctuated, and is likely to continue to fluctuate, significantly in response to market and other factors, some of which are beyond our control, including those listed in this “Item 1A. Risk Factors” section and other, unknown factors. Our stock price may be affected by many factors, including:</w:t>
      </w:r>
    </w:p>
    <w:p>
      <w:pPr>
        <w:spacing w:after="0" w:line="203"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setbacks with respect to our research and development programs;</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products by us or our competitors;</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agencies with respect to our clinical trials;</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changes to our relationship with collaborators;</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internal and external studies and clinical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80" w:name="page81"/>
    <w:bookmarkEnd w:id="80"/>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business development efforts;</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existing drug product candidates or preclinical and clinical development programs;</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results of operations;</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 reports, whether or not true, about our business;</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management;</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shares of our common stock;</w:t>
      </w:r>
    </w:p>
    <w:p>
      <w:pPr>
        <w:spacing w:after="0" w:line="25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executive officers and directors or our stockholders in the future; and</w:t>
      </w:r>
    </w:p>
    <w:p>
      <w:pPr>
        <w:spacing w:after="0" w:line="252"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including recent adverse changes in the domestic and international financial markets, the impacts of inflation and the implementation of trade barriers and tariffs and government action in response thereto.</w:t>
      </w:r>
    </w:p>
    <w:p>
      <w:pPr>
        <w:spacing w:after="0" w:line="18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trading price of our common stock. In addition, the stock market, in general, and small pharmaceutical and biotechnology companies have experienced extreme price and volume fluctuations that have often been unrelated or disproportionate to the operating performance of these companies. Broad market and industry factors beyond our control may negatively affect the market price of our common stock, regardless of our actual operating performance, and cause the price of our common stock to decline rapidly and unexpectedly.</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regain compliance with the continued listing requirements of Nasdaq, our common stock may be delisted and the price and liquidity of our common stock and our ability to access the capital markets could be negatively impacted.</w:t>
      </w:r>
    </w:p>
    <w:p>
      <w:pPr>
        <w:spacing w:after="0" w:line="29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required to comply with the continued listing requirements of the Nasdaq Stock Market LLC, or Nasdaq, including, among other things, maintaining a minimum closing bid price of at least $1.00 per share, or the Minimum Bid Requirement, or shares of our common stock may be subject to delisting, which would have a material adverse effect on our business.</w:t>
      </w:r>
    </w:p>
    <w:p>
      <w:pPr>
        <w:spacing w:after="0" w:line="6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May 12, 2025, we received a deficiency letter, or the Notice, from the Listing Qualifications Department, or the Staff, of Nasdaq indicating that we failed to comply with the Minimum Bid Requirement. The Notice had no immediate effect on the listing of our common stock. In accordance with Nasdaq Listing Rule 5810(c)(3)(A), we had an initial period of 180 calendar days (which expired on November 10, 2025) to regain compliance with the Minimum Bid Requirement.</w:t>
      </w:r>
    </w:p>
    <w:p>
      <w:pPr>
        <w:spacing w:after="0" w:line="7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Thereafter, on November 11, 2025, we received a written notice from the Staff granting us an additional 180 calendar day compliance period (until May 11, 2026), or the Second Compliance Period, to regain compliance with the Minimum Bid Requirement.</w:t>
      </w:r>
    </w:p>
    <w:p>
      <w:pPr>
        <w:spacing w:after="0" w:line="5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actively monitoring the closing bid price of our common stock and continue to evaluate available options to regain compliance with the Minimum Bid Requirement. These options include, but are not limited to, effecting a reverse stock split, if necessary, to attempt to regain compliance. If at any time during the Second Compliance Period the closing bid price of our common stock is at least $1.00 per share for a minimum of 10 consecutive business days, the Staff will provide us with written confirmation of compliance and the matter will be closed, unless the Staff exercises its discretion to extend this 10-day period pursuant to Nasdaq Listing Rule 5810(c)(3)(H). We have provided written notice to Nasdaq of our intention to cure the deficiency during the Second Compliance Period by effecting a reverse stock split, if necessary.</w:t>
      </w:r>
    </w:p>
    <w:p>
      <w:pPr>
        <w:spacing w:after="0" w:line="7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To that end, on March 4, 2026, our Board of Directors unanimously approved and declared advisable an amendment to our Amended and Restated Certificate of Incorporation, as amended, or our Certificate of Incorporation, to effect a reverse stock split, or the Reverse Stock Split, of our issued shares of common stock at a ratio within the range of not less than 1-for-30 and not greater than 1-for-50 with the exact ratio within such range and the implementation and timing of such Reverse Split to be determined at the sole discretion of our Board of Directors. The amendment to our Certificate of Incorporation is subject to the approval of our stockholders at our 2026 Annual Meeting of Stockholders, or the 2026 Annual Meeting, to be held at 9:00</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81" w:name="page82"/>
    <w:bookmarkEnd w:id="81"/>
    <w:p>
      <w:pPr>
        <w:ind w:right="20"/>
        <w:spacing w:after="0" w:line="258" w:lineRule="auto"/>
        <w:rPr>
          <w:sz w:val="20"/>
          <w:szCs w:val="20"/>
          <w:color w:val="auto"/>
        </w:rPr>
      </w:pPr>
      <w:r>
        <w:rPr>
          <w:rFonts w:ascii="Times New Roman" w:cs="Times New Roman" w:eastAsia="Times New Roman" w:hAnsi="Times New Roman"/>
          <w:sz w:val="18"/>
          <w:szCs w:val="18"/>
          <w:color w:val="auto"/>
        </w:rPr>
        <w:t>a.m., Eastern Time, on April 13, 2026. If the proposal to approve the amendment to effect the Reverse Stock Split is approved by our stockholders at the 2026 Annual Meeting and our Board of Directors determines that the Reverse Stock Split would be in the best interests of our Company and our stockholders, our Board of Directors may determine to effect the Reverse Stock Split promptly after the 2026 Annual Meeting if such stockholder approval is received. However, there can be no assurance that we will be able to regain compliance with the Minimum Bid Price Requirement, whether by effecting the Reverse Stock Split or otherwise, or maintain compliance with other Nasdaq listing requirements.</w:t>
      </w:r>
    </w:p>
    <w:p>
      <w:pPr>
        <w:spacing w:after="0" w:line="75"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If we fail to regain compliance with the Minimum Bid Requirement, by effecting the Reverse Stock Split or otherwise, our common stock may be delisted. This potential delisting, and any other potential delisting, of our common stock could have a material adverse effect on the market for, and liquidity and price of, our common stock and would adversely affect our ability to raise capital on terms acceptable to us, or at all. Delisting from Nasdaq could also have other negative results, including, without limitation, the potential loss of confidence by investors, customers and employees and fewer business development opportunities. Any delisting of our common stock from Nasdaq would also make it more difficult for our stockholders to sell their shares of our common stock in the public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5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price of our common stock can be volatile, and in the past companies that have experienced volatility in the market price of their common stock have been subject to an increased incidence of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reports about our business, or if they issue an adverse opinion about our business, the price of our securities and trading volume could decline.</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trading market for our securities is influenced by the research and reports that industry or securities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who cover us issues an adverse opinion about our company, the price of our securities would likely decline. If one or more of these analysts ceases research coverage of us or fails to regularly publish reports on us, we could lose visibility in the financial markets, which in turn could cause the price of our securities or trading volume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have no immediate plans to pay dividends.</w:t>
      </w:r>
    </w:p>
    <w:p>
      <w:pPr>
        <w:spacing w:after="0" w:line="25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plan to reinvest all of our earnings, to the extent we have earnings, in order to further develop our technology and drug product candidates and to cover operating costs. We do not plan to pay any cash dividends with respect to our securities in the foreseeable future. We cannot assure you that we would, at any time, generate sufficient surplus cash that would be available for distribution to the holders of our common stock as a dividend. In addition, our ability to pay cash dividends is currently restricted by the terms of the Loan Agreement, and future debt financing arrangements may contain terms prohibiting or limiting the amount of dividends that may be declared or paid on our common stock.</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82"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research and development tax credits to reduce future tax payments may be limited or restricted.</w:t>
      </w:r>
    </w:p>
    <w:p>
      <w:pPr>
        <w:spacing w:after="0" w:line="121"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We have generated significant net operating loss carryforwards, or NOLs, and research and development tax credits, or R&amp;D credits, as a result of our incurrence of losses and our conduct of research activities since inception. We generally are able to carry NOLs and R&amp;D credits forward to reduce our tax liability in future years. However, our ability to utilize the NOLs and R&amp;D credits is subject to the rules of Sections 382 and 383 of the Internal Revenue Code of 1986, as amended, or the Code, respectively. Those sections generally restrict the use of NOLs and R&amp;D credits after an “ownership change.” An ownership change occurs if, among other things, the stockholders (or specified groups of stockholders) who own or have owned, directly or indirectly, 5% or more of a corporation’s common stock or are otherwise treated as 5% stockholders under Section 382 of the Code and the United States Treasury Department regulations promulgated thereunder increase their aggregate percentage ownership of that corporation’s stock by more than 50 percentage points over the lowest percentage of the stock owned by these stockholders over the applicable testing period. In the event of an ownership change, Section 382 imposes an annual limitation on the amount of taxable income a corporation may offset with NOL carryforwards and Section 383 imposes an annual limitation on the amount of tax a corporation may offset with business credit (including the R&amp;D credit) carryforwards.</w:t>
      </w:r>
    </w:p>
    <w:p>
      <w:pPr>
        <w:spacing w:after="0" w:line="16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may have experienced an “ownership change” within the meaning of Section 382 in the past and there can be no assurance that we will not experience additional ownership changes in the future. As a result, our NOLs and business credits (including the R&amp;D credit) may be subject to limitations and we may be required to pay taxes earlier and in larger amounts than would be the case if our NOLs or R&amp;D credits were freely usable. There is also a risk that due to regulatory changes, such as suspensions on the use of NOLs, or other unforeseen reasons, our existing NOLs and R&amp;D credit carryforwards could expire or otherwise become unavailable to offset future income tax liabilities. In addition, state NOLs generated in one state cannot be used to offset income generated in another state. For these reasons, even if we attain profitability, we may be unable to use a material portion of our NOLs and other tax attributes.</w:t>
      </w:r>
    </w:p>
    <w:p>
      <w:pPr>
        <w:spacing w:after="0" w:line="212"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being a public company and our management is required to devote substantial time to meet compliance obligations.</w:t>
      </w:r>
    </w:p>
    <w:p>
      <w:pPr>
        <w:spacing w:after="0" w:line="18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as we are no longer an emerging growth company, we incur significant legal, accounting and other expenses. We are subject to reporting requirements of the Securities Exchange Act of 1934, as amended, or the Exchange Act, and the Sarbanes-Oxley Act of 2002, or the Sarbanes-Oxley Act, as well as rules subsequently implemented by the SEC that impose significant requirements on public companies, including requiring establishment and maintenance of effective disclosure and financial controls and changes in corporate governance practices. In addition, there are significant corporate governance and executive compensation-related provisions in the Dodd-Frank Wall Street Reform and Protection Act that increase public companies’ legal and financial compliance costs, make some activities more difficult, time-consuming or costly and may also place undue strain on personnel, systems and resources. Our management and other personnel devote a substantial amount of time to these compliance initiatives. In addition,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may inhibit a takeover that stockholders consider favorable.</w:t>
      </w:r>
    </w:p>
    <w:p>
      <w:pPr>
        <w:spacing w:after="0" w:line="25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or the Certificate of Incorporation, and our amended and restated bylaws, or the Bylaws, and applicable provisions of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 provisions in our Certificate of Incorporation and Bylaws:</w:t>
      </w:r>
    </w:p>
    <w:p>
      <w:pPr>
        <w:spacing w:after="0" w:line="139" w:lineRule="exact"/>
        <w:rPr>
          <w:sz w:val="20"/>
          <w:szCs w:val="20"/>
          <w:color w:val="auto"/>
        </w:rPr>
      </w:pPr>
    </w:p>
    <w:p>
      <w:pPr>
        <w:jc w:val="both"/>
        <w:ind w:left="1140" w:right="40" w:hanging="383"/>
        <w:spacing w:after="0" w:line="266"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and to designate the rights, preferences and privileges of each class; if issued, such preferred stock would increase the number of outstanding shares of our common stock and could include terms that may deter an acquisition of us;</w:t>
      </w:r>
    </w:p>
    <w:p>
      <w:pPr>
        <w:spacing w:after="0" w:line="13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w:t>
      </w:r>
    </w:p>
    <w:p>
      <w:pPr>
        <w:spacing w:after="0" w:line="184"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on our board of directors may be filled only by the affirmative vote of a majority of directors then in office, even if less than a quorum, or by a sole remaining director;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83" w:name="page84"/>
    <w:bookmarkEnd w:id="83"/>
    <w:p>
      <w:pPr>
        <w:ind w:left="1140" w:right="64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must comply with advance notice procedures with respect to stockholder proposals and the nomination of candidates for director;</w:t>
      </w:r>
    </w:p>
    <w:p>
      <w:pPr>
        <w:spacing w:after="0" w:line="13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may only amend our Certificate of Incorporation and Bylaws upon a supermajority vote of stockholders; and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Court of Chancery of the State of Delaware will be the exclusive forum for certain legal claims.</w:t>
      </w:r>
    </w:p>
    <w:p>
      <w:pPr>
        <w:spacing w:after="0" w:line="25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time such person came to beneficially own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0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202"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subject to limited exceptions and unless we consent in writing to the selection of an alternative forum, the Court of Chancery of the State of Delaware will be the sole and exclusive forum for all “internal corporate claims.” “Internal corporate claims” mean claims, including claims in the right of the corporation, (i) that are based upon a violation of a duty by a current or former director or officer or stockholder in such capacity or (ii) as to which Title 8 of the Delaware Code confers jurisdiction upon the Court of Chancery, except for, as to each of (i) through (ii)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p>
      <w:pPr>
        <w:spacing w:after="0" w:line="219"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The choice of forum provisions will not apply to claims arising under the Securities Act of 1933, as amended, or the Securities Act, the Exchange Act, or any other claim for which federal courts have exclusive jurisdiction.</w:t>
      </w:r>
    </w:p>
    <w:p>
      <w:pPr>
        <w:spacing w:after="0" w:line="16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common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that will be contained in our Certificate of Incorporation to be inapplicable or unenforceable in an action, we may incur additional costs associated with resolving such action in other jurisdictions, which could materially adversely affect our business, financial condition and results of operations.</w:t>
      </w:r>
    </w:p>
    <w:p>
      <w:pPr>
        <w:spacing w:after="0" w:line="18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investors may lose confidence in the accuracy and completeness of our financial reports and the market price of our securities may decrease.</w:t>
      </w:r>
    </w:p>
    <w:p>
      <w:pPr>
        <w:spacing w:after="0" w:line="18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our internal control over financial reporting. Until such time as we are no longer a "smaller reporting company" with less than $100 million in annual revenue, and thereafter qualify as an accelerated filer or a large accelerated filer, our auditors will not be required to attest as to our internal control over financial reporting.</w:t>
      </w:r>
    </w:p>
    <w:p>
      <w:pPr>
        <w:spacing w:after="0" w:line="21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If we are unable to comply with the requirements of Section 404 in a timely manner, if we are unable to assert that our internal control over financial reporting is effective or, once required, provide an attestation report from our independent registered public accounting firm, investors may lose confidence in the accuracy and completeness of our financial reports and the market price of our common stock could decrease. We could also become subject to stockholder or other third-party litigation as well as investigations by the stock exchange on which our securities are listed, the SEC or other regulatory authorities, which could require additional financial and management resources and could result in fines, trading suspensions or other remedies.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84" w:name="page85"/>
    <w:bookmarkEnd w:id="84"/>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significant number of our total outstanding shares are sold into the market, the market price of our common stock could drop significantly, even if our business is performing well.</w:t>
      </w:r>
    </w:p>
    <w:p>
      <w:pPr>
        <w:spacing w:after="0" w:line="15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or to the extent such shares have already been registered under the Securities Act and are held by non-affiliates of ours .</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Additionally, in September 2024, we completed an underwritten public offering of (i) 11,564,401 shares of our common stock and accompanying common stock warrants to purchase 2,891,100 shares of our common stock, and (ii) to certain investors in lieu of common stock, pre-funded warrants to purchase 12,435,599 shares of our common stock and accompanying common stock warrants to purchase 3,108,900 shares of our common stock.</w:t>
      </w:r>
    </w:p>
    <w:p>
      <w:pPr>
        <w:spacing w:after="0" w:line="180"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In April 2025, we completed an underwritten public offering of (i) 13,530,780 shares of our common stock and accompanying common stock warrants to purchase 3,382,695 shares of our common stock, and (ii) to certain investors in lieu of common stock, pre-funded warrants to purchase 11,469,216 shares of our common stock and accompanying common stock warrants to purchase 2,867,304 shares of our common stock.</w:t>
      </w:r>
    </w:p>
    <w:p>
      <w:pPr>
        <w:spacing w:after="0" w:line="68"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In December 2025, we completed an underwritten public offering of (i) 12,500,000 shares of our common stock and accompanying common stock warrants to purchase 6,250,000 shares of our common stock, and (ii) to certain investors in lieu of common stock, pre-funded warrants to purchase 23,214,286 shares of our common stock and accompanying common stock warrants to purchase 11,607,143 shares of our common stock. In connection with the offering, we also granted the underwriters a 30-day option to purchase up to an additional 5,357,140 shares of our common stock and accompanying common stock warrants to purchase 2,678,570 shares of our common stock at the applicable public offering price, less underwriting discounts and commissions. The underwriters exercised the option in full and settled in cash, concurrent with the offering.</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currently have on file with the SEC a universal shelf registration statement which allows us to offer and sell up to $300.0 million of registered common stock, preferred stock, debt securities, warrants, subscription rights and/or units from time to time pursuant to one or more offerings at prices and terms to be determined at the time of sale. In addition, we have also entered into an open market sales agreement with Jefferies LLC, as sales agent, or the ATM Sales Agreement, pursuant to which we may offer and sell shares of our common stock under such registration statement for aggregate gross proceeds of up to $80.0 million under an “at-the-market” offering program. To date, we have sold $42.9 million of securities, net of commission paid, but excluding transaction expenses, pursuant to the ATM Sales Agreement.</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addition, we have filed registration statements registering all shares of common stock that we may issue under our equity compensation plans.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shares can be freely sold in the public market upon issuance, subject to black-out periods and volume limitations applicable to affiliates.</w:t>
      </w:r>
    </w:p>
    <w:p>
      <w:pPr>
        <w:spacing w:after="0" w:line="203" w:lineRule="exact"/>
        <w:rPr>
          <w:sz w:val="20"/>
          <w:szCs w:val="20"/>
          <w:color w:val="auto"/>
        </w:rPr>
      </w:pPr>
    </w:p>
    <w:p>
      <w:pPr>
        <w:ind w:right="100"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spacing w:after="0" w:line="183"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As part of our private placement in November 2022, we issued common stock warrants to purchase an aggregate of 9,188,406 shares of our common stock, and pre-funded warrants to purchase an aggregate of 1,531,440 shares of our common stock. Each pre-funded warrant has an exercise price per share of common stock equal to $0.0001 per share. Each pre-funded warrant is exercisable from the date of issuance. Each common stock warrant has an exercise price per share of common stock equal to $3.93, or if exercised for a pre-funded warrant in lieu thereof, $3.9299 per pre-funded warrant. Each common stock warrant is exercisable from the date of issuance until November 16, 2027. Holders of pre-funded warrants and common stock warrants may not exercise any portion of their warrants to the extent that they would beneficially own more than 4.99% of our outstanding common stock immediately after exercise, which limitation we refer to as the 2022 Beneficial Ownership Limitation. The holders may increase or decrease their 2022 Beneficial Ownership Limitation to a percentage not in excess of 19.99% by giving notice to us.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85" w:name="page86"/>
    <w:bookmarkEnd w:id="85"/>
    <w:p>
      <w:pPr>
        <w:ind w:firstLine="749"/>
        <w:spacing w:after="0" w:line="254" w:lineRule="auto"/>
        <w:rPr>
          <w:sz w:val="20"/>
          <w:szCs w:val="20"/>
          <w:color w:val="auto"/>
        </w:rPr>
      </w:pPr>
      <w:r>
        <w:rPr>
          <w:rFonts w:ascii="Times New Roman" w:cs="Times New Roman" w:eastAsia="Times New Roman" w:hAnsi="Times New Roman"/>
          <w:sz w:val="18"/>
          <w:szCs w:val="18"/>
          <w:color w:val="auto"/>
        </w:rPr>
        <w:t>As part of our underwritten public offering in September 2024, we issued common stock warrants to purchase an aggregate of 2,891,100 shares of our common stock, and pre-funded warrants to purchase an aggregate of 12,435,599 shares of our common stock. Each pre-funded warrant has an exercise price per share of common stock equal to $0.001 per share. Each pre-funded warrant is exercisable from the date of issuance until exercised in full. Each common stock warrant has an exercise price per share of common stock equal to $0.50. Each common stock warrant is exercisable from the date of issuance until September 30, 2029. Holders of pre-funded warrants and common stock warrants may not exercise any portion of their warrants to the extent that they would beneficially own more than 4.99% or 9.99%, as elected by the holder, of our outstanding common stock immediately after exercise, which limitation we refer to as the 2024 Beneficial Ownership Limitation. The holders may increase or decrease their 2024 Beneficial Ownership Limitation to a percentage not in excess of 19.99% by giving notice to us.</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As part of our underwritten public offering in April 2025, we issued common stock warrants to purchase an aggregate of 6,249,999 shares of our common stock, and pre-funded warrants to purchase an aggregate of 11,469,216 shares of our common stock. Each pre-funded warrant has an exercise price per share of common stock equal to $0.001 per share. Each pre-funded warrant is exercisable from the date of issuance until exercised in full. Each common stock warrant has an exercise price per share of common stock equal to $0.79. Each common stock warrant is exercisable from the date of issuance until April 16, 2030. Holders of pre-funded warrants and common stock warrants may not exercise any portion of their warrants to the extent that they would beneficially own more than 4.99% or 9.99%, as elected by the holder, of our outstanding common stock immediately after exercise, which limitation we refer to as the April 2025 Beneficial Ownership Limitation. The holders may increase or decrease their April 2025 Beneficial Ownership Limitation to a percentage not in excess of 19.99% by giving notice to us.</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part of our underwritten public offering in December 2025, we issued common stock warrants to purchase an aggregate of 20,535,713 shares of our common stock, which include common stock warrants to purchase 2,678,570 shares of our common stock issued pursuant to the underwriters’ option to purchase additional common stock and/or common stock warrants, and pre-funded warrants to purchase an aggregate of 23,214,286 shares of our common stock. Each pre-funded warrant has an exercise price per share of common stock equal to $0.001 per share. Each pre-funded warrant is exercisable from the date of issuance until exercised in full. Each common stock warrant has an exercise price per share of common stock equal to $0.30. Each common stock warrant is exercisable from the date of issuance until December 22, 2030. Holders of pre-funded warrants and common stock warrants may not exercise any portion of their warrants to the extent that they would beneficially own more than 4.99% or 9.99%, as elected by the holder, of our outstanding common stock immediately after exercise, which limitation we refer to as the December 2025 Beneficial Ownership Limitation. The holders may increase or decrease their December 2025 Beneficial Ownership Limitation to a percentage not in excess of 19.99% by giving notice to us.</w:t>
      </w:r>
    </w:p>
    <w:p>
      <w:pPr>
        <w:spacing w:after="0" w:line="18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Although the warrants issued in November 2022, September 2024, April 2025, and December 2025 are subject to beneficial ownership limitations, upon exercise in full of the warrants, the shares issuable upon exercise would represent a significant portion of our outstanding common stock. As a result, the holders of these warrants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the holders of these warrants, concerning potential competitive business activities, business opportunities, the issuance of additional securities and other matters. In addition, sales of these shares could cause the market price of our common stock to decline significantly. We have registered the issuance of shares upon exercise of these warrants under registration statements. As a result, the shares issuable upon exercise of these warrants can be freely sold in the public market upon issuance, subject to volume limitations applicable to affiliates. Sales of these shares could cause the market price of our common stock to decline significantly. Furthermore, if our stock price rises, the holders of these warrants may be more likely to exercise their warrants and sell a large number of shares, which could negatively impact the market price of our common stock and reduce or eliminate any appreciation in our stock price that might otherwise occur. Given the amount and terms of these warrants, we may find it more difficult to raise additional equity capital on favorable terms or at all while these warrants are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have policies, procedures, and processes for assessing, identifying, and managing cybersecurity risks, which are built into our overall information technology function and are designed to help protect our information assets and operations from internal and external cyber threats as well as secure our networks and systems. Such processes include procedural and technical safeguards, response plans, and routine review of our policies and procedures to identify risks and improve our practices. Our security incident response plan is designed to help coordinate our response to, and recovery from, any cybersecurity incidents, and includes processes to assess the severity of, escalate, contain, investigate, and remediate such incidents as well as to comply with applicable legal obligations.</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response to the complexity and evolving nature of cybersecurity threats, incidents and risks, we engage with a range of third-party experts, including cybersecurity penetration testers, data protection services, security awareness and training, and AI based security services in evaluating and supporting our risk management. Our collaboration with these third parties includes regular independent audits, threat assessments, and consultation on security enhancements. Depending on the nature of the services provided, the sensitivity and quantity of information processed, and the identity of the service provider, we evaluate the security and risk posture of third-party service providers according to the perceived level of risk and benchmarked against industry standard best practices.</w:t>
      </w:r>
    </w:p>
    <w:p>
      <w:pPr>
        <w:spacing w:after="0" w:line="187"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of directors provides direct oversight over cybersecurity risk and provides regular updates to the board of directors regarding such oversight. The Audit Committee regularly meets with members of management responsible for data privacy, technology, and information security risks to discuss these risks, risk management activities, incident response plans, best practices, the effectiveness of our security measures, and other related matters.</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Associate Director of Information Technology and Cyber Security Manager, who reports to our President and Chief Executive Officer, leads the operational oversight of company-wide cybersecurity strategy, policy, standards, and processes and works across relevant departments to assess and help prepare us and our employees to address cybersecurity risks. Specific cybersecurity related responsibilities of the Associate Director of Information Technology and Cyber Security Manager include overseeing our processes and strategies for the detection, mitigation, and remediation of cybersecurity incidents. Our Associate Director of Information Technology and Cyber Security Manager has over 18 years of experience in information technology and cybersecurity, enabling him to effectively oversee cybersecurity risks and threats. He helped design and implement our initial cybersecurity infrastructure.</w:t>
      </w:r>
    </w:p>
    <w:p>
      <w:pPr>
        <w:spacing w:after="0" w:line="18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an effort to deter and detect cyber threats, we provide all employees, including any part-time employees, with a data protection, cybersecurity, and incident response and prevention training program designed to educate employees on the importance of identifying and reporting all potential data security incidents immediately. The training covers timely and relevant topics, including social engineering, phishing, password protection, confidential data protection, asset use, and mobile security. We also use technology-based tools to mitigate cybersecurity threats and risks and to bolster our employee-based cybersecurity programs.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do not believe that there are currently any risks from known cybersecurity threats that have materially affected or are reasonably likely to materially affect us or our business strategy, results of operations or financial condition. Despite our cybersecurity efforts, we may not be successful in preventing or mitigating a cybersecurity incident that could have a material adverse effect on us. See Part I, Item 1A, Risk Factors, in this Annual Report for a discussion of cybersecurity risks. We maintain cyber insurance coverage; however, such insurance may not be sufficient in type or amount to cover us against claims related to security breaches, cyber-attacks, and other related breaches.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ind w:right="100" w:firstLine="749"/>
        <w:spacing w:after="0" w:line="277" w:lineRule="auto"/>
        <w:rPr>
          <w:sz w:val="20"/>
          <w:szCs w:val="20"/>
          <w:color w:val="auto"/>
        </w:rPr>
      </w:pPr>
      <w:r>
        <w:rPr>
          <w:rFonts w:ascii="Times New Roman" w:cs="Times New Roman" w:eastAsia="Times New Roman" w:hAnsi="Times New Roman"/>
          <w:sz w:val="17"/>
          <w:szCs w:val="17"/>
          <w:color w:val="auto"/>
        </w:rPr>
        <w:t>Our principal office is located in Boston, Massachusetts. In March 2022, we entered into a License Agreement pursuant to which we relocated our corporate headquarters from Cambridge, Massachusetts to Boston, Massachusetts. We currently lease approximately 13,000 square feet of office and laboratory space under a lease that expires in April 2028. We use this space as our principal executive offices and for general office, research and development, and laboratory uses. We also lease additional laboratory space consisting of one procedure and two holding rooms under a lease that expires in July 2026. We believe that our facilities are sufficient to meet our current needs and that suitable additional space will be available as and when needed.</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pending legal proceedings that we believe will have a material adverse effect on our business or financial conditions. We may, however, be subject to various claims and legal actions arising in the ordinary course of business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13" w:right="6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Our shares of common stock have been listed on the Nasdaq Capital Market under the symbol “CUE” since January 2, 2018. Prior to that date, there was no public trading market for our common stock.</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13, 2026, there were approximately 91 registered holders of our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8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have never paid cash dividends on our securities and we do not anticipate paying any cash dividends on our shares of common stock in the foreseeable future. In addition, any future debt financing arrangements may contain terms prohibiting or limiting the amount of dividends that may be declared or paid on our common stock. We intend to retain any future earnings for reinvestment in our business. Any future determination to pay cash dividends will be at the discretion of our board of directors, and will be dependent upon our financial condition, results of operations, capital requirements and such other factors as our board of directors deems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Annual Report on Form 10-K, we did not issue any unregistered equity securities other than pursuant to transactions previously disclosed in our Current Reports on Form 8-K.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0"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the financial statements and the related notes thereto included elsewhere in this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a novel class of injectable therapeutics engineered to selectively engage and modulate disease-specific T cells for the treatment of autoimmune and inflammatory diseases. Unlike conventional approaches that broadly activate the immune system, our Immuno-STAT® platform is designed to selectively modulate disease-relevant T cells, enhancing efficacy while minimizing off-target effects. We believe our Immuno-STAT platform holds the promise of producing drug product candidates with the potential of establishing new standards of care in the treatment of autoimmune and inflammatory diseases. Our programs include, but are not limited to, drug product candidates designed to:</w:t>
      </w:r>
    </w:p>
    <w:p>
      <w:pPr>
        <w:spacing w:after="0" w:line="75" w:lineRule="exact"/>
        <w:rPr>
          <w:sz w:val="20"/>
          <w:szCs w:val="20"/>
          <w:color w:val="auto"/>
        </w:rPr>
      </w:pPr>
    </w:p>
    <w:p>
      <w:pPr>
        <w:ind w:left="1020" w:right="100" w:hanging="503"/>
        <w:spacing w:after="0" w:line="261"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CUE-400 series (Autoimmune Diseases): Exploit transforming growth factor beta (TGF-β) and Interleukin 2 (IL-2) signaling to induce an anti-inflammatory process, with a novel and unique mechanism to not only foster proliferation of regulatory T cells (Tregs) but also induce Tregs from T effector cells with the potential of restoring immune balance and functional immune tolerance (e.g., CUE-401 for autoimmune conditions).</w:t>
      </w:r>
    </w:p>
    <w:p>
      <w:pPr>
        <w:spacing w:after="0" w:line="71" w:lineRule="exact"/>
        <w:rPr>
          <w:rFonts w:ascii="Times New Roman" w:cs="Times New Roman" w:eastAsia="Times New Roman" w:hAnsi="Times New Roman"/>
          <w:sz w:val="18"/>
          <w:szCs w:val="18"/>
          <w:color w:val="231F20"/>
        </w:rPr>
      </w:pPr>
    </w:p>
    <w:p>
      <w:pPr>
        <w:ind w:left="1020" w:right="200" w:hanging="503"/>
        <w:spacing w:after="0" w:line="282"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CUE-500 series (Targeted Cell Depletion): Redirect anti-viral killer T cells to target and eliminate defined pathogenic cells (e.g., CUE-501 for autoimmune B cell depletion, which has been licensed to Boehringer Ingelheim International GmbH).</w:t>
      </w:r>
    </w:p>
    <w:p>
      <w:pPr>
        <w:spacing w:after="0" w:line="53" w:lineRule="exact"/>
        <w:rPr>
          <w:rFonts w:ascii="Times New Roman" w:cs="Times New Roman" w:eastAsia="Times New Roman" w:hAnsi="Times New Roman"/>
          <w:sz w:val="18"/>
          <w:szCs w:val="18"/>
          <w:color w:val="231F20"/>
        </w:rPr>
      </w:pPr>
    </w:p>
    <w:p>
      <w:pPr>
        <w:ind w:left="1020" w:right="420" w:hanging="503"/>
        <w:spacing w:after="0" w:line="266" w:lineRule="auto"/>
        <w:tabs>
          <w:tab w:leader="none" w:pos="1020"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CUE-100 series (Oncology): Selectively activate and expand tumor-specific T cells (e.g., CUE-101 for HPV+ cancers and CUE-102 for Wilms’ tumor 1 protein (WT1), expressing cancers, both of which have been licensed to ImmunoScape Pte. Ltd. for development in oncology indications).</w:t>
      </w:r>
    </w:p>
    <w:p>
      <w:pPr>
        <w:spacing w:after="0" w:line="135" w:lineRule="exact"/>
        <w:rPr>
          <w:sz w:val="20"/>
          <w:szCs w:val="20"/>
          <w:color w:val="auto"/>
        </w:rPr>
      </w:pPr>
    </w:p>
    <w:p>
      <w:pPr>
        <w:ind w:right="920" w:firstLine="749"/>
        <w:spacing w:after="0" w:line="282" w:lineRule="auto"/>
        <w:rPr>
          <w:sz w:val="20"/>
          <w:szCs w:val="20"/>
          <w:color w:val="auto"/>
        </w:rPr>
      </w:pPr>
      <w:r>
        <w:rPr>
          <w:rFonts w:ascii="Times New Roman" w:cs="Times New Roman" w:eastAsia="Times New Roman" w:hAnsi="Times New Roman"/>
          <w:sz w:val="18"/>
          <w:szCs w:val="18"/>
          <w:color w:val="auto"/>
        </w:rPr>
        <w:t>We aim to leverage our differentiated platform to establish new standards of care, forge strategic partnerships, and accelerate clinical development.</w:t>
      </w:r>
    </w:p>
    <w:p>
      <w:pPr>
        <w:spacing w:after="0" w:line="162"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As represented in the following image, the Immuno-STAT framework is engineered to be highly flexible and modular, potentially enabling us to deploy the same or similar core functional elements to restore immune balance across diverse therapeutic approaches.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Immuno-STAT Platform Pipeline of Assets for Restoration of Immune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154305</wp:posOffset>
            </wp:positionV>
            <wp:extent cx="5511800" cy="30518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1180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90" w:name="page91"/>
    <w:bookmarkEnd w:id="90"/>
    <w:p>
      <w:pPr>
        <w:spacing w:after="0" w:line="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CUE-401</w:t>
      </w:r>
    </w:p>
    <w:p>
      <w:pPr>
        <w:spacing w:after="0" w:line="185" w:lineRule="exact"/>
        <w:rPr>
          <w:sz w:val="20"/>
          <w:szCs w:val="20"/>
          <w:color w:val="auto"/>
        </w:rPr>
      </w:pPr>
    </w:p>
    <w:p>
      <w:pPr>
        <w:ind w:right="580" w:firstLine="749"/>
        <w:spacing w:after="0" w:line="266" w:lineRule="auto"/>
        <w:rPr>
          <w:sz w:val="20"/>
          <w:szCs w:val="20"/>
          <w:color w:val="auto"/>
        </w:rPr>
      </w:pPr>
      <w:r>
        <w:rPr>
          <w:rFonts w:ascii="Times New Roman" w:cs="Times New Roman" w:eastAsia="Times New Roman" w:hAnsi="Times New Roman"/>
          <w:sz w:val="18"/>
          <w:szCs w:val="18"/>
          <w:color w:val="auto"/>
        </w:rPr>
        <w:t>In autoimmune disease, Tregs are the master regulators of maintaining immune homeostasis, or balance, and health. Autoreactive T cells, referred to as T effector cells (Teff cells), are reactive against “self” proteins and foster inflammation and induce chronic tissue damage. Tregs are important to maintaining immune balance in that they possess the ability to dampen and control the Teff cells.</w:t>
      </w:r>
    </w:p>
    <w:p>
      <w:pPr>
        <w:spacing w:after="0" w:line="6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lead candidate, CUE-401, is a preclinical, bifunctional fusion protein designed to promote immune tolerance by modulating key components of the immune system, including the induction of newly formed Tregs (iTregs) from Teff cells, as well as expansion of existing or natural regulatory T cells (nTregs). Through the co-activity of engineered variants of TGF-β and IL-2, CUE-401 has the therapeutic potential to re-establish immune balance and induce tolerance across a range of T cell mediated autoimmune and inflammatory diseases.</w:t>
      </w:r>
    </w:p>
    <w:p>
      <w:pPr>
        <w:spacing w:after="0" w:line="7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CUE-401 has been engineered to harness the capacity of TGF-β to re-establish immune balance combined with the complementary signaling of IL-2, to provide an anti-inflammatory environment, as well as Treg induction and expansion for what we believe will provide long-lasting tolerance, which is considered to be the ultimate goal of treating autoimmune disease. In addition, the TGF-β moiety has the potential to reduce inflammation as well as reduce the number of pathogenic pro-inflammatory cells in the autoimmune disease setting.</w:t>
      </w:r>
    </w:p>
    <w:p>
      <w:pPr>
        <w:spacing w:after="0" w:line="153"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CUE-401, our first-in-class, bifunctional molecule integrating a masked TGF-ß with our clinically validated, attenuated IL-2 variant, is designed to address multiple hurdles to fully exploit the therapeutic potential of an immunology master switch. This novel design provides for “conditional binding” to avoid off target activity and has generated highly differentiated data in multiple preclinical autoimmune animal disease models.</w:t>
      </w:r>
    </w:p>
    <w:p>
      <w:pPr>
        <w:spacing w:after="0" w:line="13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these preclinical animal models, CUE-401 behaves as a master switch to reduce inflammation and pro-inflammatory cells, as well as convert autoreactive Teff cells into iTregs, which express FoxP3, the hallmark transcription factor that characterizes stable Tregs. These findings suggest that CUE-401 acts by establishing a “tolerance positive feedback loop” that not only increases nonspecific Treg populations (natural Tregs) but also reduces and converts specific autoreactive T cells into transdifferentiated iTregs that are specific to the disease-causing autoantigens.</w:t>
      </w:r>
    </w:p>
    <w:p>
      <w:pPr>
        <w:spacing w:after="0" w:line="7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believe these results, along with advances in the manufacturing of CUE-401, have substantially reduced the risk profile for the development of this program, and we have selected a lead candidate molecule. Scale-up manufacturing and other IND-enabling studies for CUE-401 are nearing completion, with GLP toxicology studies having been completed in both mice and non-human primate species. We are preparing to file an investigational new drug (IND) application in the second quarter of 2026. Our Phase 1 trial for CUE-401 will consist of a two-part study, comprised of a single ascending dose and a multiple ascending dose in healthy volunteers. We anticipate receiving human safety data starting in the second half of 2026. We anticipate that these early clinical trial results will provide pharmacokinetic and pharmacodynamic evidence and further support the underlying premise of establishing immune balance and inducing durable immune tolerance with CUE-401. We believe this could represent a potential breakthrough as a new standard of care in multiple high-value autoimmune disease indications.</w:t>
      </w:r>
    </w:p>
    <w:p>
      <w:pPr>
        <w:spacing w:after="0" w:line="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CUE-500 Series</w:t>
      </w:r>
    </w:p>
    <w:p>
      <w:pPr>
        <w:spacing w:after="0" w:line="22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CUE-500 series has been developed to enable targeted anti-viral T cell-mediated depletion of pathogenic cell types, including autoreactive B cells. We believe these biologics have the potential to achieve immune balance in autoimmune patients and are significantly differentiated from other competing approaches such as bifunctional antibody drug conjugates, pan-T cell engagers, IL-2 muteins, TNFR2 agonists, and CAR-T therapies.</w:t>
      </w:r>
    </w:p>
    <w:p>
      <w:pPr>
        <w:spacing w:after="0" w:line="13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CUE-500 series represents a novel approach to selectively target disease-causing cells by redirecting existing anti-viral memory T cells to target and deplete such disease-causing cells. CUE-501, for which we entered into a collaboration and license agreement with Boehringer Ingelheim International GmbH (BI) in April 2025, is being developed to target and deplete autoimmune disease-causing B cells, in patients with autoimmune disease caused by autoreactive, pathogenic B cells. Targeted B cell depletion is widely recognized in the industry as a clinically validated and important approach for the treatment of B cell mediated autoimmune and inflammatory diseases, and we believe the selective mechanism of action exploiting the anti-viral memory T cell repertoire will provide highly effective killing of the targeted cells while preventing or substantially reducing the side effect profile often experienced with competing approaches.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Due to its modularity, we believe that the CUE-500 series has therapeutic potential across multiple disease areas. The mode of redirecting a defined population of already existing anti-viral T cells may apply to many pathogenic cell types readily addressed by swapping different cell-targeting antibody domains into the CUE-500 series framework.</w:t>
      </w:r>
    </w:p>
    <w:p>
      <w:pPr>
        <w:spacing w:after="0" w:line="176"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We believe the preclinical data generated to date for CUE-401 and the CUE-500 series demonstrates the intended mechanistic effect of these novel approaches for the potential treatment of autoimmune disease, and each represent potential breakthrough therapeutic opportunities for significant patient populations and potential near-term value creation opportunities for our shareholders.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CUE-100 Series</w:t>
      </w:r>
    </w:p>
    <w:p>
      <w:pPr>
        <w:spacing w:after="0" w:line="22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Historically, we primarily focused our resources on the development of our CUE-100 series for oncology, namely the CUE-101 and CUE-102 drug product candidates, which are representative of our approach to selectively activate targeted CD8+ T cells against cancer, both of which have been licensed to ImmunoScape Pte. Ltd., or IMSCP, to advance a novel in vivo approach to cell therapy for the treatment of solid tumors. Under our Collaboration and License Agreement with IMSCP, IMSCP is developing a novel Seed-and-Boost immunotherapy that combines our clinically validated Immuno-STAT T-cell engagers, the CUE-100 series, with IMSCP’s proprietary tumor-specific T cell receptors, or TCRs. The combination therapy is designed to overcome core limitations of existing cell therapies and to potentially establish a new standard of care with superior anti-tumor activity, durable T cell persistence and product scalability.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Operation</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approach to developing precision immunotherapies has yielded a growing portfolio of novel proteins with the potential to address multiple unmet needs across autoimmune diseases. We believe that our science is derisked with clinical tolerability and activity from our Phase 1 clinical trials of CUE-101 and CUE-102, with the potential for significant market opportunities. As a result of our insights and learnings from our growing body of supportive data, we believe our corresponding strategic plans position us well to optimize shareholder value.</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intend to maximize this value by focusing on the development of CUE-401, for which we are preparing to file an IND application in the second quarter of 2026. We have also successfully established collaborations across our pipeline, such as our strategic collaboration and license agreements with BI for the development of CUE-501, and ImmunoScape Pte. Ltd. for the development of our CUE-100 series.</w:t>
      </w:r>
    </w:p>
    <w:p>
      <w:pPr>
        <w:spacing w:after="0" w:line="68"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a development-stage company, the majority of our business activities to date have been, and our planned future activities will be, devoted to furthering research and development of our drug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that Raise Substantial Doubt About Our Ability to Continue as a Going Concern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significant losses since our inception and have never generated revenue or profit from product sales, and it is possible we will never generate revenue or profit from product sales. As of December 31, 2025, we had cash and cash equivalents of $27.1 million. Based on our current operating plans, we believe we will have sufficient funds to meet our obligations into the first quarter of 2027. However, we will need to raise substantial additional capital to fund our future operations and remain as a going concern. We expect to finance our future cash needs through a combination of equity offerings, collaborations, and other strategic alliances. Volatility in capital markets and general economic conditions in the U.S. may be a significant obstacle to raising the required funds and, as a result, we may be unable to secure the necessary funding on acceptable terms, if at all. To the extent that we raise additional capital through future equity offerings, the ownership interest of common stockholders will be diluted, which dilution may be significant. We cannot guarantee that we will be able to obtain any or sufficient additional funding or that such funding, if available, will be obtainable on terms satisfactory to us. In the event that we are unable to obtain any or sufficient additional funding, there can be no assurance that we will be able to continue as a going concern, and we will be forced to delay, reduce or discontinue our product development programs or consider other various strategic alternatives, including the sale or disposition of our rights or assets or our dissolution and liquidation with little or no return to investors. Any such change in our product development programs or strategic alternatives may have a material adverse effect on the price per share of our common stock.</w:t>
      </w:r>
    </w:p>
    <w:p>
      <w:pPr>
        <w:spacing w:after="0" w:line="8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This raises substantial doubt about our ability to continue as a going concern. Substantial doubt about our ability to continue as a going concern or any actions described above that we may take as a result of our inability to obtain sufficient additional funding may materially and adversely affect the price per share of our common stock, and it may be more difficult for us to obtain financing. If existing or potential collaborators decline to do business with us or potential investors decline to participate in any future financings due to such concerns, our ability to increase our cash position may be limited. The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92" w:name="page93"/>
    <w:bookmarkEnd w:id="92"/>
    <w:p>
      <w:pPr>
        <w:ind w:right="100"/>
        <w:spacing w:after="0" w:line="256" w:lineRule="auto"/>
        <w:rPr>
          <w:sz w:val="20"/>
          <w:szCs w:val="20"/>
          <w:color w:val="auto"/>
        </w:rPr>
      </w:pPr>
      <w:r>
        <w:rPr>
          <w:rFonts w:ascii="Times New Roman" w:cs="Times New Roman" w:eastAsia="Times New Roman" w:hAnsi="Times New Roman"/>
          <w:sz w:val="18"/>
          <w:szCs w:val="18"/>
          <w:color w:val="auto"/>
        </w:rPr>
        <w:t>perception that we may not be able to continue as a going concern may cause others to choose not to deal with us due to concerns about our ability to meet our contractual obligations. We could also be forced to sell or dispose of our rights or assets. Any inability to raise adequate funds on commercially reasonable terms could have a material adverse effect on our business, results of operation and financial condition, including the possibility that a lack of funds could cause our business to fail, dissolve and liquidate with little or no return to investors. For a further discussion of factors that raise substantial doubt about our ability to continue as a going concern, please see “– Liquidity and Capital Resources – Funding Requirements” and Part I. Item 1A, “Risk Factors” herein.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Significant Judgments</w:t>
      </w:r>
    </w:p>
    <w:p>
      <w:pPr>
        <w:spacing w:after="0" w:line="18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or U.S. GAAP. The preparation of our financial statements requires us to make estimates and assumptions that affect the reported amounts of assets and liabilities and the disclosure of contingent assets and liabilities at the date of our financial statements, and the reported revenue and expenses during the reported periods. We evaluate these estimates and judgments, including those described below, on an ongoing basis. We base our estimates on historical experience, known trends and events, contractual milestones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5"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consolidated financial statements appearing elsewhere in this Annual Report on Form 10-K, we believe that the estimates, assumptions and judgments involved in the following accounting policies may have the greatest potential impact on the financial statements, so we consider these to be our critical accounting policies and estimates. There were no material changes to our critical accounting policies and estimates during the year ended December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We recognize collaboration revenue under certain of our license and collaboration agreements that are within the scope of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Our contracts with customers typically include promises related to licenses to intellectual property and research and development services. If the license to our intellectual property is determined to be distinct from the other performance obligations identified in the arrangement, we recognize revenue from non-refundable, up-front fees allocated to the license when the license is transferred to the licensee and the licensee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Our contracts may include options to acquire additional goods and/or services.</w:t>
      </w:r>
    </w:p>
    <w:p>
      <w:pPr>
        <w:spacing w:after="0" w:line="16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terms of our arrangements with customers typically include the payment of one or more of the following: (i) non-refundable, up-front payment, and pass through costs related to research activities, (ii) development, regulatory and commercial milestone payments, (iii) future options and (iv) royalties on net sales of licensed products. Accordingly, the transaction price is generally comprised of a fixed fee due at contract inception and variable consideration in the form of pass through costs and milestone payments due upon the achievement of specified events and tiered royalties earned when customers recognize net sales of licensed products. We measure the transaction price based on the amount of consideration to which we expect to be entitled in exchange for transferring the promised goods and/or services to the customer. We utilize the “expected value method” method to estimate the amount of variable consideration, to predict the amount of consideration to which we will be entitled for our one open contract.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Milestone payments that are not within our control or the licensee's control, such as those dependent upon receipt of regulatory approval, are not considered to be probable of achievement until the triggering event occurs. At the end of each reporting period, we reevaluate the probability of achievement of each milestone and any related constraint, and, if necessary, adjust its estimate of the overall transaction price. Any such adjustments are recorded on a cumulative catch-up basis, which would affect revenue and net loss in the period of adjustment.</w:t>
      </w:r>
    </w:p>
    <w:p>
      <w:pPr>
        <w:spacing w:after="0" w:line="14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upon the achievement of a certain level of product sales, we recognize revenue upon the later of: (i) when the related sales occur or (ii) when the performance obligation to which some or all of the payment has been allocated has been satisfied (or partially satisfied).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93" w:name="page94"/>
    <w:bookmarkEnd w:id="93"/>
    <w:p>
      <w:pPr>
        <w:ind w:right="680"/>
        <w:spacing w:after="0" w:line="312" w:lineRule="auto"/>
        <w:rPr>
          <w:sz w:val="20"/>
          <w:szCs w:val="20"/>
          <w:color w:val="auto"/>
        </w:rPr>
      </w:pPr>
      <w:r>
        <w:rPr>
          <w:rFonts w:ascii="Times New Roman" w:cs="Times New Roman" w:eastAsia="Times New Roman" w:hAnsi="Times New Roman"/>
          <w:sz w:val="17"/>
          <w:szCs w:val="17"/>
          <w:color w:val="auto"/>
        </w:rPr>
        <w:t>date, we have not recognized any development, regulatory or commercial milestones or royalty revenue resulting from any of our collaboration arrangements. Consideration that would be received for optional goods and/or services is excluded from the transaction price at contract inception.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89" w:lineRule="exact"/>
        <w:rPr>
          <w:sz w:val="20"/>
          <w:szCs w:val="20"/>
          <w:color w:val="auto"/>
        </w:rPr>
      </w:pPr>
    </w:p>
    <w:p>
      <w:pPr>
        <w:ind w:right="48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compensation costs, fees paid to consultants, outside service providers and organizations (including research institutes at universities), facility costs, and development and clinical trial costs with respect to our drug product candidates. We utilize our employee and infrastructure resources across multiple research and development programs, and do not track these costs by project. We believe the attempted allocation of these costs by project would be arbitrary and not meaningful. We expect research and development expenses to remain consistent in future periods.</w:t>
      </w:r>
    </w:p>
    <w:p>
      <w:pPr>
        <w:spacing w:after="0" w:line="143" w:lineRule="exact"/>
        <w:rPr>
          <w:sz w:val="20"/>
          <w:szCs w:val="20"/>
          <w:color w:val="auto"/>
        </w:rPr>
      </w:pPr>
    </w:p>
    <w:p>
      <w:pPr>
        <w:ind w:right="220" w:firstLine="749"/>
        <w:spacing w:after="0" w:line="257" w:lineRule="auto"/>
        <w:rPr>
          <w:sz w:val="20"/>
          <w:szCs w:val="20"/>
          <w:color w:val="auto"/>
        </w:rPr>
      </w:pPr>
      <w:r>
        <w:rPr>
          <w:rFonts w:ascii="Times New Roman" w:cs="Times New Roman" w:eastAsia="Times New Roman" w:hAnsi="Times New Roman"/>
          <w:sz w:val="18"/>
          <w:szCs w:val="18"/>
          <w:color w:val="auto"/>
        </w:rPr>
        <w:t>Research and development expenses incurred under contracts are expensed ratably over the life of the underlying contracts, unless the achievement of milestones, the completion of contracted work, or other information indicates that a different pattern of performance is more appropriate. Other research and development expenses are charged to operations as incurred.</w:t>
      </w:r>
    </w:p>
    <w:p>
      <w:pPr>
        <w:spacing w:after="0" w:line="1"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Nonrefundable advance payments are recognized as an expense as the related services are performed. We evaluate whether we expect the services to be rendered at each quarter end and year end reporting date. If we do not expect the services to be rendered, the advance payment is recorded as expense. Nonrefundable advance payments for research and development services are included in prepaid and other current assets on the balance sheet. To the extent that a nonrefundable advance payment is for contracted services to be performed within 12 months from the reporting date, such advance is included in current assets; otherwise, such advance is included in non-current assets.</w:t>
      </w:r>
    </w:p>
    <w:p>
      <w:pPr>
        <w:spacing w:after="0" w:line="160"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We evaluate the status of our research and development agreements and contracts, and the carrying amount of the related assets and liabilities, at each quarter end and year end reporting date, and adjust the carrying amounts and their classification on the balance sheet as appropriate.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category for the years ended December 31, 2025 and 2024 (in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millions):</w:t>
            </w:r>
          </w:p>
        </w:tc>
        <w:tc>
          <w:tcPr>
            <w:tcW w:w="1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gridSpan w:val="2"/>
            <w:vMerge w:val="restart"/>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4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vMerge w:val="continue"/>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460" w:type="dxa"/>
            <w:vAlign w:val="bottom"/>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Contract manufacturing costs</w:t>
            </w:r>
          </w:p>
        </w:tc>
        <w:tc>
          <w:tcPr>
            <w:tcW w:w="1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and overhead</w:t>
            </w:r>
          </w:p>
        </w:tc>
        <w:tc>
          <w:tcPr>
            <w:tcW w:w="14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Lab costs</w:t>
            </w:r>
          </w:p>
        </w:tc>
        <w:tc>
          <w:tcPr>
            <w:tcW w:w="1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in-process research and development costs</w:t>
            </w:r>
          </w:p>
        </w:tc>
        <w:tc>
          <w:tcPr>
            <w:tcW w:w="14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costs</w:t>
            </w:r>
          </w:p>
        </w:tc>
        <w:tc>
          <w:tcPr>
            <w:tcW w:w="1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fees</w:t>
            </w:r>
          </w:p>
        </w:tc>
        <w:tc>
          <w:tcPr>
            <w:tcW w:w="14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-24765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jc w:val="both"/>
        <w:ind w:right="20" w:firstLine="749"/>
        <w:spacing w:after="0" w:line="312" w:lineRule="auto"/>
        <w:rPr>
          <w:sz w:val="20"/>
          <w:szCs w:val="20"/>
          <w:color w:val="auto"/>
        </w:rPr>
      </w:pPr>
      <w:r>
        <w:rPr>
          <w:rFonts w:ascii="Times New Roman" w:cs="Times New Roman" w:eastAsia="Times New Roman" w:hAnsi="Times New Roman"/>
          <w:sz w:val="17"/>
          <w:szCs w:val="17"/>
          <w:color w:val="auto"/>
        </w:rPr>
        <w:t>We account for income taxes under an asset and liability approach for financial accounting and reporting for income taxes. Accordingly, we recognize deferred tax assets and liabilities for the expected impact of differences between the financial statements and the tax basis of assets and liabilities.</w:t>
      </w:r>
    </w:p>
    <w:p>
      <w:pPr>
        <w:spacing w:after="0" w:line="9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account for uncertainties in income tax law under a comprehensive model for the financial statement recognition, measurement, presentation and disclosure of uncertain tax positions taken or expected to be taken in income tax returns as prescribed by GAAP. The tax effects of a position are recognized only if it is “more-likely-than-not” to be sustained by the taxing authority as of the reporting date. If the tax position is not considered “more-likely-than-not” to be sustained, then no benefits of the position are recognized.</w:t>
      </w:r>
    </w:p>
    <w:p>
      <w:pPr>
        <w:spacing w:after="0" w:line="139"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We record a valuation allowance to reduce our deferred tax assets to the amount that is more likely than not to be realized. In the event we were to determine that we would be able to realize our deferred tax assets in the future in excess of its recorded amount, an adjustment to the deferred tax assets would be credited to operations in the period such determination was made. Likewise, should we determine that we would not be able to realize all or part of our deferred tax assets in the future, an adjustment to the deferred tax assets would be charged to operations in the period such determination was made.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94" w:name="page95"/>
    <w:bookmarkEnd w:id="94"/>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We are subject to U.S. federal and Massachusetts state income taxes. As our net operating losses have yet to be utilized, all previous tax years remain open to examination by federal and state taxing authorities in which we currently operate.</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recognize interest accrued relative to unrecognized tax benefits in interest expense and penalties in operating expense.</w:t>
      </w:r>
    </w:p>
    <w:p>
      <w:pPr>
        <w:spacing w:after="0" w:line="18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there is a provision for income taxes of $0.5 million related to foreign withholding taxes. For the year ended December 31, 2024, there is no provision for income taxes in the U.S. because we have historically incurred net operating losses and maintain a full valuation allowance against our net deferred assets. The reported amount of income tax expense for the years differs from the amount that would result from applying domestic federal statutory tax rates to pretax losses primarily because of changes in valuation allowance.</w:t>
      </w:r>
    </w:p>
    <w:p>
      <w:pPr>
        <w:spacing w:after="0" w:line="139" w:lineRule="exact"/>
        <w:rPr>
          <w:sz w:val="20"/>
          <w:szCs w:val="20"/>
          <w:color w:val="auto"/>
        </w:rPr>
      </w:pPr>
    </w:p>
    <w:p>
      <w:pPr>
        <w:jc w:val="both"/>
        <w:ind w:right="440" w:firstLine="749"/>
        <w:spacing w:after="0" w:line="266" w:lineRule="auto"/>
        <w:rPr>
          <w:sz w:val="20"/>
          <w:szCs w:val="20"/>
          <w:color w:val="auto"/>
        </w:rPr>
      </w:pPr>
      <w:r>
        <w:rPr>
          <w:rFonts w:ascii="Times New Roman" w:cs="Times New Roman" w:eastAsia="Times New Roman" w:hAnsi="Times New Roman"/>
          <w:sz w:val="18"/>
          <w:szCs w:val="18"/>
          <w:color w:val="auto"/>
        </w:rPr>
        <w:t>We recognize interest accrued relative to unrecognized tax benefits in interest expense and penalties in operating expense. During the years ended December 31, 2025 and 2024, we did not recognize any income tax related interest and penalties. We did not have any accruals for income tax related interest and penalties at December 31, 2025 and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Adopted Standards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discussion of recent accounting pronouncements is included in Note 2 to the consolidated financial statements in this Annual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3" w:lineRule="exact"/>
        <w:rPr>
          <w:sz w:val="20"/>
          <w:szCs w:val="20"/>
          <w:color w:val="auto"/>
        </w:rPr>
      </w:pPr>
    </w:p>
    <w:p>
      <w:pPr>
        <w:ind w:right="454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Significant Contracts and Agreements Related to Research and Development Activities </w:t>
      </w:r>
      <w:r>
        <w:rPr>
          <w:rFonts w:ascii="Times New Roman" w:cs="Times New Roman" w:eastAsia="Times New Roman" w:hAnsi="Times New Roman"/>
          <w:sz w:val="18"/>
          <w:szCs w:val="18"/>
          <w:b w:val="1"/>
          <w:bCs w:val="1"/>
          <w:i w:val="1"/>
          <w:iCs w:val="1"/>
          <w:color w:val="auto"/>
        </w:rPr>
        <w:t>Einstein License Agreement</w:t>
      </w: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January 14, 2015, we entered into a license agreement, as amended and restated on July 31, 2017, and as further amended on October 30, 2018, January 13, 2024 and April 10, 2025, or the Einstein License, with Albert Einstein College of Medicine, or Einstein, for certain patent rights, or the Patents, relating to our core technology platform for the engineering of biologics to control T cell activity, precision, immune-modulatory drug product candidates, and two supporting technologies that enable the discovery of costimulatory signaling molecules (ligands) and T cell targeting peptides.</w:t>
      </w:r>
    </w:p>
    <w:p>
      <w:pPr>
        <w:spacing w:after="0" w:line="7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hold an exclusive worldwide license, with the right to sublicense, import, make, have made, use, provide, offer to sell, and sell all products, processes and services that use the Patents, including certain technology received from Einstein related thereto, which we refer to as the Einstein Licensed Products. Under the Einstein License, we are required to:</w:t>
      </w:r>
    </w:p>
    <w:p>
      <w:pPr>
        <w:spacing w:after="0" w:line="68" w:lineRule="exact"/>
        <w:rPr>
          <w:sz w:val="20"/>
          <w:szCs w:val="20"/>
          <w:color w:val="auto"/>
        </w:rPr>
      </w:pPr>
    </w:p>
    <w:p>
      <w:pPr>
        <w:ind w:left="1020" w:right="3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royalties and amounts based on a certain percentage of proceeds, as defined in the Einstein License, from sales of Einstein Licensed Products and sublicense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escalating annual maintenance fees, which are non-refundable, but are creditable against the amount due to Einstein for royalties.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significant payments based upon the achievement of certain milestones, as defined in the Einstein License. As of December 31, 2025, two of these milestones had been achieved, as we had filed an IND application in 2019, and initiated an investigator sponsored Phase 1b neoadjuvant clinical trial for CUE-101 in locally advanced HNSCC in 2021.</w:t>
      </w:r>
    </w:p>
    <w:p>
      <w:pPr>
        <w:spacing w:after="0" w:line="6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minimum product development costs per year and meet certain diligence obligations until the first commercial sale of the first Einstein Licensed Product.</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Einstein License requires us to pay a percentage of sublicenses related to our patent rights for components of our core technology that is licensed from Einstein. On April 10, 2025, we entered into an amendment to the Einstein License. Pursuant to the amendment, Einstein consented to our entry into the BI Collaboration and License Agreement and granted us the right to sublicense to BI. In addition, we and Einstein agreed to amend specified upstream payment obligations that may be owed to Einstein by us, solely in connection with the sublicense to BI. In the second quarter of 2025, we paid Einstein $0.9 million in fees in relation to the amendment to this license with Einstein.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fourth quarter of 2025, we incurred license maintenance fees of $1.5 million related to the ImmunoScape Pte. Ltd. License Agreement.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we were in compliance with our obligations under the Einstein License.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95" w:name="page96"/>
    <w:bookmarkEnd w:id="95"/>
    <w:p>
      <w:pPr>
        <w:ind w:right="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We account for the costs incurred in connection with the Einstein License in accordance with Accounting Standards Codification 730, </w:t>
      </w:r>
      <w:r>
        <w:rPr>
          <w:rFonts w:ascii="Times New Roman" w:cs="Times New Roman" w:eastAsia="Times New Roman" w:hAnsi="Times New Roman"/>
          <w:sz w:val="18"/>
          <w:szCs w:val="18"/>
          <w:i w:val="1"/>
          <w:iCs w:val="1"/>
          <w:color w:val="auto"/>
        </w:rPr>
        <w:t>Research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pay $0.1 million in annual maintenance license fees to Einstein, which are amortized equally throughout the year. We incurred $0.1 million in annual maintenance fees for each of the years ended December 31, 2025 and 2024. Such costs are included in research and development costs in our consolidated statements of operations.</w:t>
      </w:r>
    </w:p>
    <w:p>
      <w:pPr>
        <w:spacing w:after="0" w:line="135"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Pursuant to the Einstein License, we issued to Einstein 671,572 shares of our common stock in connection with the consummation of the initial public offering of our common stock on December 27, 2017.</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“Our License Agreement with Einstein” under Part I, Item 1 of this Annual Report on Form 10-K for additional discussion of the Einstein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LG Chem</w:t>
      </w:r>
    </w:p>
    <w:p>
      <w:pPr>
        <w:spacing w:after="0" w:line="18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On November 6, 2018, we entered into a Collaboration, License and Option Agreement, as amended from time to time, or the LG Chem Collaboration Agreement, with LG Chem Ltd., or LG Chem, pertaining to the development of CUE-101 and CUE-102 Immuno-STATs focused in the field of oncology.</w:t>
      </w:r>
    </w:p>
    <w:p>
      <w:pPr>
        <w:spacing w:after="0" w:line="14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Pursuant to the LG Chem Collaboration Agreement, we granted LG Chem an exclusive license to develop, manufacture and commercialize CUE-101, as well as CUE-102 Immuno-STATs that target T cells against two additional cancer antigens in Australia and certain Asian countries, which we refer to collectively as the LG Chem Territory.</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March 11, 2025, we and LG Chem entered into the Ninth Amendment to the LG Chem Collaboration Agreement, or the Ninth Amendment. As of the date of the Ninth Amendment, we regained our rights to the LG Chem Territory for the CUE-101 program, which had been licensed to LG Chem, and LG Chem terminated all of its rights to the same program. Pursuant to the Ninth Amendment, we agreed to make future payments to LG Chem, if and when one or more potential scenarios related to the CUE-101 program occur, up to a predetermined aggregate amount. LG Chem continues to maintain its interest and rights in the CUE-102 program, targeting WT1 expressing cancers, pursuant to the LG Chem Collaboration Agreement.</w:t>
      </w:r>
    </w:p>
    <w:p>
      <w:pPr>
        <w:spacing w:after="0" w:line="143"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did not recognize any revenue related to the LG Chem Collaboration Agreement for the year ended December 31, 2025. For the year ended December 31, 2024, we recognized revenue of less than $0.1 million related to the LG Chem Collaboration Agreement. As of December 31, 2025, we had recorded $20.0 million in collaboration revenue related to this agreement since the agreement was entered into. The majority of the research phase of the LG Chem Collaboration Agreement was substantially completed by March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Option Agreement with Ono</w:t>
      </w:r>
    </w:p>
    <w:p>
      <w:pPr>
        <w:spacing w:after="0" w:line="20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February 2023, we entered into a strategic collaboration agreement, or the Ono Collaboration and Option Agreement, with Ono Pharmaceutical Co., Ltd., or Ono, to further develop CUE-401. In March 2025, we and Ono agreed to terminate the Ono Collaboration and Option Agreement, effective as of March 6, 2025. At such time, the Ono Collaboration and Option Agreement had no further force or effect with the exception of certain customary provisions which are intended to survive termination and expiration of the Ono Collaboration and Option Agreement. We retained all rights to CUE-401.</w:t>
      </w:r>
    </w:p>
    <w:p>
      <w:pPr>
        <w:spacing w:after="0" w:line="143"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Ono Collaboration and Option Agreement, Ono paid us an upfront payment and agreed to fully fund all research and development activities related to CUE-401 through a specified option period of 24 months, or the Ono Research Term. Per the agreement, as consideration for the research and development activities performed by us, Ono (i) made a one-time, non-refundable, non-creditable upfront payment of $3.0 million to us in March 2023, and (ii) agreed to reimburse us for all costs incurred in conducting research, including (a) pass through costs from third party contractors and (b) full-time employee salaries capped at $2.1 million in the first 18 months of the Ono Research Term. Subsequently, we and Ono agreed to increase this cap for full -time employee salaries to $3.1 million.</w:t>
      </w:r>
    </w:p>
    <w:p>
      <w:pPr>
        <w:spacing w:after="0" w:line="18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on Form 10-K, both we and Ono have satisfied all of our respective performance obligations and made all outstanding payments under the agreement as of December 31, 2025. For the year ended December 31, 2025 and 2024, we recognized revenue of $0.4 million and $9.2 million related to the Ono Collaboration and Option Agreement, respectively. As of December 31, 2025, we had recorded $14.8 million in collaboration revenue related to this agreement since the agreement was entered into.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96" w:name="page97"/>
    <w:bookmarkEnd w:id="96"/>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See “Our Collaboration and Option Agreement with Ono” under Part I, Item 1 of this Annual Report on Form 10-K for additional discussion of the Ono Collaboration and Option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 Collaboration and License Agreement</w:t>
      </w:r>
    </w:p>
    <w:p>
      <w:pPr>
        <w:spacing w:after="0" w:line="22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On April 10, 2025, we entered into a Collaboration and License Agreement with BI, or the BI Collaboration and License Agreement, to research, develop and commercialize differentiated B cell depletion molecules, including CUE-501.</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BI Collaboration and License Agreement, we and BI will conduct collaborative research focused on CUE-501 during a four-year period or, if earlier, the completion of activities under the research plans, or the BI Research Term. In addition to, or instead of, CUE-501, BI may elect, at its sole discretion, to include additional or alternative compounds targeted at B cell depletion. BI will have an exclusive, royalty-bearing, worldwide, sublicensable license, under our applicable patents and know-how, to develop, manufacture and commercialize such compounds and their derivatives, or BI Licensed Products, for all uses, and BI shall be responsible for all further research, preclinical and clinical development, manufacturing, regulatory approvals, and commercialization of BI Licensed Products at its expense. During the BI Research Term, we are prohibited from developing or commercializing any molecule for applications in B cell depletion.</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terms of the BI Collaboration and License Agreement, we received an upfront payment of $10.1 million in cash in the second quarter of 2025, which is net of $1.9 million of German withholding taxes that we expect to be refunded in 2026. We will also be eligible to receive up to an aggregate of approximately $345.0 million in success-based research, development and commercial milestone payments, beginning with two preclinical development milestones, as well as royalty payments on net sales. The royalty payments will be subject to reduction due to patent expiration, payments made under certain licenses for third-party intellectual property and generic competition. BI has agreed to reimburse us for agreed upon costs incurred in conducting research during the BI Research term, including certain pass-through costs from third party contractors and full-time employee salaries.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BI Collaboration and License Agreement will continue, on a product-by-product and country-by-country basis, until the expiration of the applicable royalty term, unless earlier terminated. BI has the right to terminate the BI Collaboration and License Agreement for any reason after a specified notice period. Each party has the right to terminate the BI Collaboration and License Agreement on account of the other party’s bankruptcy or material, uncured breach. In connection with our entry into the BI Collaboration and License Agreement, we entered into an amendment to our Einstein License whereby Einstein consented to our entry into the BI Collaboration and License Agreement and granted us the right to sublicense to BI. In addition, we and Einstein agreed to amend specified upstream payment obligations that may be owed to Einstein by us, solely in connection with the sublicense to BI.</w:t>
      </w:r>
    </w:p>
    <w:p>
      <w:pPr>
        <w:spacing w:after="0" w:line="160" w:lineRule="exact"/>
        <w:rPr>
          <w:sz w:val="20"/>
          <w:szCs w:val="20"/>
          <w:color w:val="auto"/>
        </w:rPr>
      </w:pPr>
    </w:p>
    <w:p>
      <w:pPr>
        <w:ind w:right="280" w:firstLine="67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we recognized revenue of $8.1 million related to the BI Collaboration and License Agreement. We recorded short-term research and development liabilities of $5.3 million and accounts receivable of $0.5 million on our consolidated balance sheet as of December 31, 2025.</w:t>
      </w:r>
    </w:p>
    <w:p>
      <w:pPr>
        <w:spacing w:after="0" w:line="13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See “Our Collaboration and License Agreement with BI” under Part I, Item 1 of this Annual Report on Form 10-K for additional discussion of the BI Collaboration and License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ImmunoScape Collaboration and License Agreement</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November 6, 2025, ImmunoScape Pte. Ltd., or IMSCP, exercised its option, or Option, to obtain licenses to research, develop and commercialize molecules from our CUE-100 series, including CUE-101 and CUE-102, subject to certain exclusions, for all oncology indications pursuant to a Collaboration and License Agreement, effective November 6, 2025, between us and IMSCP, or the IMSCP Collaboration and License Agreement. The licenses provided pursuant to the IMSCP Collaboration and License Agreement include a co-exclusive development license for five years or, if longer, for so long as IMSCP has a specified number of CUE-100 series molecules under active development and, pursuant to which, we retain non-exclusive research rights to support our other programs. We also retained our rights to the CUE-100 series, including CUE-101 and CUE-102, for use in any manner other than as a component of a cell therapy product for 18 months past the effective date of the IMSCP Collaboration and License Agreement. The licenses include an exclusive commercial license to IMSCP for any CUE-100 series molecule that IMSCP advances to IND-enabling studies while the co-exclusive development license is in effect. The licensed series of molecules will be further developed and potentially commercialized by IMSCP. The Option was exercised pursuant to an Option Agreement between us and IMSCP, dated October 22, 2025, or Option Agreement. In connection with entry into the Option Agreement and IMSCP’s exercise of the Option, we received an aggregate of $9.5</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97" w:name="page98"/>
    <w:bookmarkEnd w:id="97"/>
    <w:p>
      <w:pPr>
        <w:ind w:right="440"/>
        <w:spacing w:after="0" w:line="282" w:lineRule="auto"/>
        <w:rPr>
          <w:sz w:val="20"/>
          <w:szCs w:val="20"/>
          <w:color w:val="auto"/>
        </w:rPr>
      </w:pPr>
      <w:r>
        <w:rPr>
          <w:rFonts w:ascii="Times New Roman" w:cs="Times New Roman" w:eastAsia="Times New Roman" w:hAnsi="Times New Roman"/>
          <w:sz w:val="18"/>
          <w:szCs w:val="18"/>
          <w:color w:val="auto"/>
        </w:rPr>
        <w:t>million, net of withholding taxes, in the fourth quarter of 2025 and are entitled to receive an additional $5.0 million before the first anniversary of the effective date of the IMSCP Collaboration and License Agreement.</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IMSCP Collaboration and License Agreement, we (a) received equity of IMSCP equal to 40% of the issued and outstanding equity of IMSCP and are entitled to receive additional equity, in the form of warrants, upon certain dilution events in the future, (b) received time-based payments of $10.0 million in the fourth quarter of 2025, (c) are entitled to receive an additional time-based payment of $5.0 million before the first anniversary of the effective date of the IMSCP Collaboration and License Agreement, and (d) are entitled to receive high single-digit royalties on global net sales and low- to mid-double digit royalties from sublicensing royalties and income. The IMSCP Collaboration and License Agreement includes customary termination provisions, including IMSCP’s ability to terminate the agreement in its entirety on 60 days’ advanced written notice to us.</w:t>
      </w:r>
    </w:p>
    <w:p>
      <w:pPr>
        <w:spacing w:after="0" w:line="147" w:lineRule="exact"/>
        <w:rPr>
          <w:sz w:val="20"/>
          <w:szCs w:val="20"/>
          <w:color w:val="auto"/>
        </w:rPr>
      </w:pPr>
    </w:p>
    <w:p>
      <w:pPr>
        <w:ind w:right="100" w:firstLine="62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recognized revenue of $18.9 million related to the IMSCP Collaboration and License Agreement. We recorded accounts receivable from IMSCP of $5.0 million on our consolidated balance sheet as of December 31, 2025.</w:t>
      </w:r>
    </w:p>
    <w:p>
      <w:pPr>
        <w:spacing w:after="0" w:line="135" w:lineRule="exact"/>
        <w:rPr>
          <w:sz w:val="20"/>
          <w:szCs w:val="20"/>
          <w:color w:val="auto"/>
        </w:rPr>
      </w:pPr>
    </w:p>
    <w:p>
      <w:pPr>
        <w:ind w:right="480" w:firstLine="584"/>
        <w:spacing w:after="0" w:line="282" w:lineRule="auto"/>
        <w:rPr>
          <w:sz w:val="20"/>
          <w:szCs w:val="20"/>
          <w:color w:val="auto"/>
        </w:rPr>
      </w:pPr>
      <w:r>
        <w:rPr>
          <w:rFonts w:ascii="Times New Roman" w:cs="Times New Roman" w:eastAsia="Times New Roman" w:hAnsi="Times New Roman"/>
          <w:sz w:val="18"/>
          <w:szCs w:val="18"/>
          <w:color w:val="auto"/>
        </w:rPr>
        <w:t>See “Our Collaboration and License Agreement with ImmunoScape” under Part I, Item 1 of this Annual Report on Form 10-K for additional discussion of the IMSCP Collaboration and License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have not yet generated commercial revenue from product sales. To date, we have generated revenue from collaboration agreements with BI, IMSCP, LG Chem, Ono (which terminated in March 2025), and Merck Sharp &amp; Dohme Corp. (which terminated in December 2022). Our collaboration revenue may vary from period to period depending on the progress of our work in connection with our collaboration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compensation costs, fees paid to consultants, outside service providers and organizations (including research institutes at universities), facility costs, development and clinical trial costs with respect to our drug product candidates, and acquired in-process research and development. We utilize our employee and infrastructure resources across multiple research and development programs, and do not track these costs by project. We believe the attempted allocation of these costs by project would be arbitrary and not meaningful.</w:t>
      </w:r>
    </w:p>
    <w:p>
      <w:pPr>
        <w:spacing w:after="0" w:line="153"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incurred under contracts are expensed ratably over the life of the underlying contracts, unless the achievement of milestones, the completion of contracted work, or other information indicates that a different pattern of performance is more appropriate. Other research and development expenses are charged to operations as incurred.</w:t>
      </w:r>
    </w:p>
    <w:p>
      <w:pPr>
        <w:spacing w:after="0" w:line="13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Nonrefundable advance payments are recognized as an expense as the related services are performed. We evaluate whether we expect the services to be rendered at each quarter end and year end reporting date. If we do not expect the services to be rendered, the advance payment is recorded as expense. Nonrefundable advance payments for research and development services are included in prepaid and other current assets on the balance sheet. To the extent that a nonrefundable advance payment is for contracted services to be performed within 12 months from the reporting date, such advance is included in current assets; otherwise, such advance is included in non-current assets.</w:t>
      </w:r>
    </w:p>
    <w:p>
      <w:pPr>
        <w:spacing w:after="0" w:line="143"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evaluate the status of our research and development agreements and contracts, and the carrying amount of the related assets and liabilities, at each quarter end and year end reporting date, and adjust the carrying amounts and their classification on the balance sheet as appropriate.</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category for the years ended December 31, 2025 and 2024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millions):</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0" w:right="37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460" w:type="dxa"/>
            <w:vAlign w:val="bottom"/>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Contract manufacturing costs</w:t>
            </w:r>
          </w:p>
        </w:tc>
        <w:tc>
          <w:tcPr>
            <w:tcW w:w="1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and overhead</w:t>
            </w:r>
          </w:p>
        </w:tc>
        <w:tc>
          <w:tcPr>
            <w:tcW w:w="14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Lab costs</w:t>
            </w:r>
          </w:p>
        </w:tc>
        <w:tc>
          <w:tcPr>
            <w:tcW w:w="1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in-process research and development costs</w:t>
            </w:r>
          </w:p>
        </w:tc>
        <w:tc>
          <w:tcPr>
            <w:tcW w:w="14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costs</w:t>
            </w:r>
          </w:p>
        </w:tc>
        <w:tc>
          <w:tcPr>
            <w:tcW w:w="1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fees</w:t>
            </w:r>
          </w:p>
        </w:tc>
        <w:tc>
          <w:tcPr>
            <w:tcW w:w="14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49"/>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salaries and related expenses for executive, legal, finance, human resources, information technology and administrative personnel, as well as professional fees, insurance costs, and other general corporate expenses. We expect general and administrative expenses to remain consistent in future periods as we continue to incur expenses related to our operation as a public company, which requires our ongoing compliance with certain laws and regulations.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earn interest income from cash invested in money market funds and U.S. Treasury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We incurred interest expense from borrowings under our Loan and Security Agreement, as amended, or the Loan Agreement, with Silicon Valley Bank, a division of First Citizens Bank &amp; Trust Company, or SVB. As of December 31, 2025, the loan principal balance was fully paid off.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2025 and 2024</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consolidated statements of operations for the years ended December 31, 2025 and 2024, as discussed herein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5384165</wp:posOffset>
            </wp:positionH>
            <wp:positionV relativeFrom="paragraph">
              <wp:posOffset>158750</wp:posOffset>
            </wp:positionV>
            <wp:extent cx="76835" cy="1797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158750</wp:posOffset>
            </wp:positionV>
            <wp:extent cx="76835"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26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27,466</w:t>
            </w: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 (income):</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Loss (gain) on fixed asset disposal</w:t>
            </w:r>
          </w:p>
        </w:tc>
        <w:tc>
          <w:tcPr>
            <w:tcW w:w="2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3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54,018</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50,787</w:t>
            </w:r>
          </w:p>
        </w:tc>
        <w:tc>
          <w:tcPr>
            <w:tcW w:w="8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(26,552)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(41,500)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3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other income, net</w:t>
            </w:r>
          </w:p>
        </w:tc>
        <w:tc>
          <w:tcPr>
            <w:tcW w:w="23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tcBorders>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(26,102)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(40,674)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680" w:type="dxa"/>
            <w:vAlign w:val="bottom"/>
            <w:shd w:val="clear" w:color="auto" w:fill="CFF0FC"/>
          </w:tcPr>
          <w:p>
            <w:pPr>
              <w:spacing w:after="0" w:line="20" w:lineRule="exact"/>
              <w:rPr>
                <w:sz w:val="1"/>
                <w:szCs w:val="1"/>
                <w:color w:val="auto"/>
              </w:rPr>
            </w:pPr>
          </w:p>
        </w:tc>
        <w:tc>
          <w:tcPr>
            <w:tcW w:w="2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40" w:type="dxa"/>
            <w:vAlign w:val="bottom"/>
            <w:vMerge w:val="continue"/>
          </w:tcPr>
          <w:p>
            <w:pPr>
              <w:spacing w:after="0"/>
              <w:rPr>
                <w:sz w:val="20"/>
                <w:szCs w:val="20"/>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3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(26,602)</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(40,674)</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3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-2193925</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-2193925</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-1902460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-1902460</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-1336675</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-1336675</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-1053465</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-1053465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8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Collaboration revenue increased by $18.2 million for the year ended December 31, 2025 compared to the year ended December 31, 2024. The increase was primarily due to revenue recognized from the BI Collaboration and License Agreement executed in April 2025 and the IMSCP Collaboration and License Agreement executed in November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$1.7 million for the year ended December 31, 2025 compared to the year ended December 31, 2024. This was primarily due to an increase in professional fees of $2.0 million, which included fees incurred for the review, negotiation, and preparation of the BI Collaboration and License Agreement executed in April 2025 and the IMSCP Collaboration and License Agreement executed in November 2025, as well as an increase in severance expense of $0.8 million due to severance paid to our former Chief Executive Officer, partially offset by a decrease in employee compensation, which includes stock-based compensation, of $1.1 million resulting from a reduction in headcount.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increased by $1.4 million for the year ended December 31, 2025 compared to the year ended December 31, 2024. This was primarily due to an increase in acquired in-process research and development costs related to our investment in IMSCP of $3.9 million, an increase in manufacturing of $3.4 million for our lead candidate, CUE-401, an increase in license fees of $1.5 million payable to Einstein in connection with the BI Collaboration and License Agreement executed in April 2025 and the IMSCP Collaboration and License Agreement executed in November 2025, and an increase in severance expense of $0.6 million due to severance paid to our former Chief Medical Officer, partially offset by a decrease in clinical trial costs of $3.4 million for our CUE-100 series as a result of us licensing molecules from the CUE-100 series to IMSCP, a decrease in employee compensation, which includes stock-based compensation, of $3.4 million resulting from a reduction in headcount, a decrease in lab costs of $1.0 million, and a decrease in facilities costs of $0.2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(Gain) on Fixed Asset Disposal</w:t>
      </w:r>
    </w:p>
    <w:p>
      <w:pPr>
        <w:spacing w:after="0" w:line="18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Loss on fixed asset disposal was $0.03 million for the year ended December 31, 2025 compared to a gain on fixed asset disposal of $0.1 million for the year ended December 31, 2024. These gains and losses were recognized from the sale of laboratory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Interest income decreased by $0.8 million for the year ended December 31, 2025 compared to the year ended December 31, 2024. The decrease was due to less interest earned on cash and cash equivalents balances.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Interest expense decreased by $0.4 million for the year ended December 31, 2025 compared to the year ended December 31, 2024. The decrease was due to less interest incurred from the Loan Agreement with SVB, as the loan principal balance decreased year over year and was fully paid off in December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Withholding Taxes</w:t>
      </w:r>
    </w:p>
    <w:p>
      <w:pPr>
        <w:spacing w:after="0" w:line="20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Provision for income tax for the year ended December 31, 2025 was comprised of $500,000 in foreign income tax expense related to the IMSCP upfront payments received as of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89" w:lineRule="exact"/>
        <w:rPr>
          <w:sz w:val="20"/>
          <w:szCs w:val="20"/>
          <w:color w:val="auto"/>
        </w:rPr>
      </w:pPr>
    </w:p>
    <w:p>
      <w:pPr>
        <w:ind w:right="680" w:firstLine="794"/>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decreased by $14.1 million for the year ended December 31, 2025 compared to the year ended December 31,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have financed our working capital requirements primarily through private and public offerings of equity securities, cash received from BI, IMSCP, LG Chem, Ono, and Merck Sharp &amp; Dohme Corp. under collaboration agreements, and borrowings under the Loan Agreement. At December 31, 2025, we had cash and cash equivalents totaling $27.1 million available to fund our ongoing business activities. Additional information concerning our financial condition and results of operations is provided in the financial statements included in this Annual Report on Form 10-K.</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100" w:name="page101"/>
    <w:bookmarkEnd w:id="100"/>
    <w:p>
      <w:pPr>
        <w:ind w:firstLine="509"/>
        <w:spacing w:after="0" w:line="266" w:lineRule="auto"/>
        <w:rPr>
          <w:sz w:val="20"/>
          <w:szCs w:val="20"/>
          <w:color w:val="auto"/>
        </w:rPr>
      </w:pPr>
      <w:r>
        <w:rPr>
          <w:rFonts w:ascii="Times New Roman" w:cs="Times New Roman" w:eastAsia="Times New Roman" w:hAnsi="Times New Roman"/>
          <w:sz w:val="18"/>
          <w:szCs w:val="18"/>
          <w:color w:val="auto"/>
        </w:rPr>
        <w:t>The amounts that we actually spend for any specific purpose may vary significantly and will depend on a number of factors, including, but not limited to, our research and development activities and programs, clinical testing, regulatory approval, market conditions, and changes in or revisions to our business strategy and technology development plans.</w:t>
      </w:r>
    </w:p>
    <w:p>
      <w:pPr>
        <w:spacing w:after="0" w:line="17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May 9, 2023, we filed a registration statement on Form S-3, which was declared effective on May 26, 2023 (File No. 333-271786), to register for sale from time to time up to $300 million of our common stock, preferred stock, debt securities, warrants, subscription rights and/or units in one or more offerings.</w:t>
      </w:r>
    </w:p>
    <w:p>
      <w:pPr>
        <w:spacing w:after="0" w:line="13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October 2021, we entered into an open market sale agreement, or the ATM Sales Agreement, with Jefferies LLC, or Jefferies, to sell shares of our common stock for aggregate gross proceeds of up to $80.0 million, from time to time, through an "at-the-market" equity offering program under which Jefferies acts as sales agent. The ATM Sales Agreement will terminate upon the earliest of (a) the sale of $80.0 million of shares of our common stock pursuant to the ATM Sales Agreement or (b) the termination of the ATM Sales Agreement by us or Jefferies. During the years ended December 31, 2025 and 2024, we sold 3,414,197 and 1,471,858 shares, respectively, of common stock under the ATM Sales Agreement for proceeds of $2.5 million and $3.4 million, respectively, net of commission paid, but excluding transaction expenses. As of December 31, 2025, we had sold an aggregate of 12,486,428 shares of common stock under the ATM Sales Agreement for proceeds of $42.9 million, net of commission paid, but excluding transaction expenses.</w:t>
      </w:r>
    </w:p>
    <w:p>
      <w:pPr>
        <w:spacing w:after="0" w:line="16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February 15, 2022, we entered into the Loan Agreement with SVB, pursuant to which we have borrowed $10.0 million. The Loan Agreement was amended in April 2023 and October 2024. All outstanding principal and accrued and unpaid interest under the Term Loans and all other outstanding obligations with respect to the Term Loans became due and payable in full on December 1, 2025. As of December 31, 2025, the Term Loans were fully paid off. The term loans under the Loan Agreement, or the Term Loans, bore interest at a floating rate per annum equal to the greater of (A) the prime rate (as published in the money rates section of The Wall Street Journal) plus 2.25% and (B) 5.50%. On the first calendar day of each month, we were required to make monthly interest payments and commencing on June 30, 2023, we began repayment of the Term Loans in (i) 30 consecutive installments of principal plus monthly payments of accrued interest if the additional term loans were not advanced and (ii) 24 months if the additional term loans were advanced.</w:t>
      </w:r>
    </w:p>
    <w:p>
      <w:pPr>
        <w:spacing w:after="0" w:line="1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Loan Agreement permitted voluntary prepayment of all, but not less than all, of the Term Loans, subject to a prepayment premium except if the facility was refinanced with another First Citizens Bank facility. Such prepayment premium would be 1.00% of the principal amount of the Term Loans. Upon repayment in full of the Term Loans, we were required to pay a one-time final payment fee equal to 5.00% of the original principal amount of any funded Term Loans being repaid. The Loan Agreement, as amended, also required us to have at all times on deposit in our accounts maintained with SVB, unrestricted and unencumbered cash in an amount equal to the lesser of (i) 100% of the dollar value of our consolidated cash, in the aggregate, at all financial institutions, and (ii) $20,000,000.</w:t>
      </w:r>
    </w:p>
    <w:p>
      <w:pPr>
        <w:spacing w:after="0" w:line="18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September 26, 2024, we entered into an underwriting agreement, or the 2024 Underwriting Agreement, with Oppenheimer &amp; Co. Inc., as representative of the several underwriters named therein, or, collectively, the 2024 Underwriters, relating to an underwritten public offering of (i) 11,564,401 shares, or the 2024 Shares, of our common stock, $0.001 par value per share, and accompanying common stock warrants, or the 2024 Common Stock Warrants, to purchase 2,891,100 shares of our common stock, and (ii) to certain investors in lieu of common stock, pre-funded warrants, or the 2024 Pre-Funded Warrants, to purchase 12,435,599 shares of our common stock and accompanying 2024 Common Stock Warrants to purchase 3,108,900 shares of common stock. All of the 2024 Shares, the 2024 Pre-Funded Warrants and the 2024 Common Stock Warrants were sold by us. Each 2024 Share was offered and sold together with an accompanying 2024 Common Stock Warrant to purchase one-quarter of one share of our common stock at a combined offering price of $0.50, and each 2024 Pre-Funded Warrant was offered and sold together with an accompanying 2024 Common Stock Warrant to purchase one-quarter of one share of our common stock at a combined offering price of $0.499, which is equal to the combined offering price per share of common stock and accompanying 2024 Common Stock Warrant less the $0.001 exercise price of each 2024 Pre-Funded Warrant. The 2024 Underwriters purchased</w:t>
      </w:r>
    </w:p>
    <w:p>
      <w:pPr>
        <w:spacing w:after="0" w:line="5" w:lineRule="exact"/>
        <w:rPr>
          <w:sz w:val="20"/>
          <w:szCs w:val="20"/>
          <w:color w:val="auto"/>
        </w:rPr>
      </w:pPr>
    </w:p>
    <w:p>
      <w:pPr>
        <w:ind w:right="140" w:firstLine="8"/>
        <w:spacing w:after="0" w:line="253" w:lineRule="auto"/>
        <w:tabs>
          <w:tab w:leader="none" w:pos="2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2024 Share and accompanying 2024 Common Stock Warrant from us pursuant to the 2024 Underwriting Agreement at a combined price of $0.47 and (ii) each 2024 Pre-Funded Warrant and accompanying 2024 Common Stock Warrant from us pursuant to the 2024 Underwriting Agreement at a combined price of $0.46906. We recorded net proceeds from the offering of $10.8 million, after deducting underwriting discounts and commissions and offering expenses of $1.2 million, excluding any proceeds that may be received from exercise of the 2024 Common Stock Warrants and the 2024 Pre-Funded Warrants.</w:t>
      </w:r>
    </w:p>
    <w:p>
      <w:pPr>
        <w:spacing w:after="0" w:line="187"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On April 14, 2025, we entered into an underwriting agreement, or the April 2025 Underwriting Agreement, with Oppenheimer &amp; Co. Inc., as representative of the several underwriters named therein, or, collectively, the April 2025 Underwriters, relating to an underwritten public offering of (i) 13,530,780 shares, or the April 2025 Shares, of our common stock, $0.001 par value per share, and accompanying common stock warrants, or the April 2025 Common Stock Warrants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01" w:name="page102"/>
    <w:bookmarkEnd w:id="101"/>
    <w:p>
      <w:pPr>
        <w:ind w:right="80"/>
        <w:spacing w:after="0" w:line="253" w:lineRule="auto"/>
        <w:rPr>
          <w:sz w:val="20"/>
          <w:szCs w:val="20"/>
          <w:color w:val="auto"/>
        </w:rPr>
      </w:pPr>
      <w:r>
        <w:rPr>
          <w:rFonts w:ascii="Times New Roman" w:cs="Times New Roman" w:eastAsia="Times New Roman" w:hAnsi="Times New Roman"/>
          <w:sz w:val="18"/>
          <w:szCs w:val="18"/>
          <w:color w:val="auto"/>
        </w:rPr>
        <w:t>purchase 3,382,695 shares of our common stock, and (ii) to certain investors in lieu of common stock, pre-funded warrants, or the April 2025 Pre-Funded Warrants, to purchase 11,469,216 shares of our common stock and accompanying April 2025 Common Stock Warrants to purchase 2,867,304 shares of common stock. All of the April 2025 Shares, the April 2025 Pre-Funded Warrants and the April 2025 Common Stock Warrants were sold by us. Each April 2025 Share was offered and sold together with an accompanying April 2025 Common Stock Warrant to purchase one-quarter of one share of our common stock at a combined offering price of $0.79, and each April 2025 Pre-Funded Warrant was offered and sold together with an accompanying April 2025 Common Stock Warrant to purchase one-quarter of one share of our common stock at a combined offering price of $0.789, which is equal to the combined offering price per share of common stock and accompanying April 2025 Common Stock Warrant less the $0.001 exercise price of each April 2025 Pre-Funded Warrant. The April 2025 Underwriters purchased (i) each April 2025 Share and accompanying April 2025 Common Stock Warrant from us pursuant to the April 2025 Underwriting Agreement at a combined price of $0.7426 and (ii) each April 2025 Pre-Funded Warrant and accompanying April 2025 Common Stock Warrant from us pursuant to the April 2025 Underwriting Agreement at a combined price of $0.74166. We received net proceeds from the offering of approximately $18.0 million, after deducting underwriting discounts and commissions and offering expenses of $0.5 million excluding any proceeds that may be received from exercise of the April 2025 Common Stock Warrants and the April 2025 Pre-Funded Warrants.</w:t>
      </w:r>
    </w:p>
    <w:p>
      <w:pPr>
        <w:spacing w:after="0" w:line="82"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December 19, 2025, we entered into an underwriting agreement, or the December 2025 Underwriting Agreement, with H.C. Wainwright &amp; Co., LLC, as representative of the several underwriters named therein, or, collectively, the December 2025 Underwriters, relating to an underwritten public offering of (i) 12,500,000 shares, or the December 2025 Shares, of our common stock, $0.001 par value per share, and accompanying common stock warrants, or the December 2025 Common Stock Warrants to purchase 6,250,000 shares of our common stock, and (ii) to certain investors in lieu of common stock, pre-funded warrants, or the December 2025 Pre-Funded Warrants, and, together with the December 2025 Shares and the December 2025 Common Stock Warrants, the December 2025 Securities, to purchase 23,214,286 shares of our common stock and accompanying December 2025 Common Stock Warrants to purchase 11,607,143 shares of common stock. All of the December 2025 Securities were sold by us. Each December 2025 Share was offered and sold together with an accompanying December 2025 Common Stock Warrant to purchase one-half of one share of our common stock at a combined offering price of $0.28, and each December 2025 Pre-Funded Warrant was offered and sold together with an accompanying December 2025 Common Stock Warrant to purchase one-half of one share of our common stock at a combined offering price of $0.279, which is equal to the combined offering price per share of common stock and accompanying December 2025 Common Stock Warrant less the $0.001 exercise price of each December 2025 Pre-Funded Warrant. The December 2025 Underwriters purchased (i) each December 2025 Share and accompanying December 2025 Common Stock Warrant from us pursuant to the December 2025 Underwriting Agreement at a combined price of $0.2632 and (ii) each December 2025 Pre-Funded Warrant and accompanying December 2025 Common Stock Warrant from us pursuant to the December 2025 Underwriting Agreement at a combined price of $0.2622. Under the terms of the December 2025 Underwriting Agreement, we also granted the December 2025 Underwriters an option, exercisable for a period of 30 days, to purchase up to an additional 5,357,140 shares of common stock and/or common stock warrants to purchase up to an additional 2,678,570 shares of common stock at the applicable public offering price, less underwriting discounts and commissions, which they exercised in full in December 2025. The net proceeds from the offering were $10.2 million after deducting underwriting discounts and commissions and offering expenses, and excluding any proceeds that may be received from exercise of the December 2025 Common Stock Warrants and the December 2025 Pre-Funded Warrants.</w:t>
      </w:r>
    </w:p>
    <w:p>
      <w:pPr>
        <w:spacing w:after="0" w:line="149"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If we issue additional equity securities to raise funds, the ownership percentage of our existing stockholders would be reduced. New investors may demand rights, preferences or privileges senior to those of existing holders of our common stock. If we issue debt securities, we may be required to grant security interests in our assets, could have substantial debt service obligations, and lenders may have a senior position (compared to stockholders) in any potential future bankruptcy or liquidation. Additionally, corporate collaboration and licensing arrangements may require us to incur non-recurring and other charges, give up certain rights relating to our intellectual property and research and development activities, increase our near and long-term expenditures, issue securities that dilute our existing stockholders, issue debt which may require liens on our assets and which will increase our monthly expense obligations, or disrupt our management and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Based on our current plans and forecasted expenses, we believe our existing cash and cash equivalents as of December 31, 2025, will enable us to fund our operations into the first quarter of 2027. However, we will need to raise substantial additional capital to fund our future operations and remain as a going concern. We expect to finance our future cash needs through a combination of equity offerings, collaborations, and other strategic alliances. Volatility in capital markets and general economic conditions in the United States may be a significant obstacle to raising the required funds and, as a result, we may be unable to secure the necessary funding on acceptable terms. This raises substantial doubt about our ability to continue as a going concern.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02" w:name="page103"/>
    <w:bookmarkEnd w:id="102"/>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changes in cash, cash equivalents, and restricted cash for the year ended December 31, 2025 and 2024:</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2"/>
          </w:tcPr>
          <w:p>
            <w:pPr>
              <w:jc w:val="center"/>
              <w:ind w:right="90"/>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activities</w:t>
            </w:r>
          </w:p>
        </w:tc>
        <w:tc>
          <w:tcPr>
            <w:tcW w:w="122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(21,687)</w:t>
            </w:r>
          </w:p>
        </w:tc>
        <w:tc>
          <w:tcPr>
            <w:tcW w:w="4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(36,329)</w:t>
            </w: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26,291</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200" w:type="dxa"/>
            <w:vAlign w:val="bottom"/>
            <w:vMerge w:val="restart"/>
            <w:shd w:val="clear" w:color="auto" w:fill="CFF0FC"/>
          </w:tcPr>
          <w:p>
            <w:pPr>
              <w:spacing w:after="0"/>
              <w:rPr>
                <w:sz w:val="16"/>
                <w:szCs w:val="16"/>
                <w:color w:val="auto"/>
              </w:rPr>
            </w:pPr>
          </w:p>
        </w:tc>
        <w:tc>
          <w:tcPr>
            <w:tcW w:w="1020" w:type="dxa"/>
            <w:vAlign w:val="bottom"/>
            <w:vMerge w:val="restart"/>
            <w:shd w:val="clear" w:color="auto" w:fill="CFF0FC"/>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240" w:type="dxa"/>
            <w:vAlign w:val="bottom"/>
            <w:shd w:val="clear" w:color="auto" w:fill="CFF0FC"/>
          </w:tcPr>
          <w:p>
            <w:pPr>
              <w:spacing w:after="0"/>
              <w:rPr>
                <w:sz w:val="16"/>
                <w:szCs w:val="16"/>
                <w:color w:val="auto"/>
              </w:rPr>
            </w:pPr>
          </w:p>
        </w:tc>
        <w:tc>
          <w:tcPr>
            <w:tcW w:w="480" w:type="dxa"/>
            <w:vAlign w:val="bottom"/>
            <w:vMerge w:val="restart"/>
            <w:shd w:val="clear" w:color="auto" w:fill="CFF0FC"/>
          </w:tcPr>
          <w:p>
            <w:pPr>
              <w:jc w:val="center"/>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(26,054)</w:t>
            </w:r>
          </w:p>
        </w:tc>
        <w:tc>
          <w:tcPr>
            <w:tcW w:w="0" w:type="dxa"/>
            <w:vAlign w:val="bottom"/>
          </w:tcPr>
          <w:p>
            <w:pPr>
              <w:spacing w:after="0"/>
              <w:rPr>
                <w:sz w:val="1"/>
                <w:szCs w:val="1"/>
                <w:color w:val="auto"/>
              </w:rPr>
            </w:pPr>
          </w:p>
        </w:tc>
      </w:tr>
      <w:tr>
        <w:trPr>
          <w:trHeight w:val="214"/>
        </w:trPr>
        <w:tc>
          <w:tcPr>
            <w:tcW w:w="40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vMerge w:val="continue"/>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vMerge w:val="continue"/>
            <w:shd w:val="clear" w:color="auto" w:fill="CFF0FC"/>
          </w:tcPr>
          <w:p>
            <w:pPr>
              <w:spacing w:after="0"/>
              <w:rPr>
                <w:sz w:val="18"/>
                <w:szCs w:val="18"/>
                <w:color w:val="auto"/>
              </w:rPr>
            </w:pPr>
          </w:p>
        </w:tc>
        <w:tc>
          <w:tcPr>
            <w:tcW w:w="12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-25400</wp:posOffset>
            </wp:positionV>
            <wp:extent cx="5143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decreased by $14.6 million for the year ended December 31, 2025 compared to the year ended December 31, 2024. This was primarily attributable to a lower net loss recognized during the year ended December 31, 2025 and an increase in research and development contract liability, partially offset by an increase in accounts receivable and prepaid expenses and other current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increased by $0.04 million for the year ended December 31, 2025 compared to the year ended December 31, 2024. This was primarily due to redemptions of marketable securities during the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increased by $16.0 million for the year ended December 31, 2025 compared to the year ended December 31, 2024. This was primarily due to an increase in proceeds received from our underwritten public offerings in April 2025 and December 2025, partially offset by a decrease in proceeds from sales pursuant to our ATM Sales Agreement in 2025 compared to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our Immuno-STAT platform and continue ongoing and initiate new clinical trials of and seek marketing approval for our drug product candidates. In addition, we expect to incur additional costs associated with operating as a public company. Our expenses will also increase if, and as, we:</w:t>
      </w:r>
    </w:p>
    <w:p>
      <w:pPr>
        <w:spacing w:after="0" w:line="68"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preclinical development of CUE-401 and the CUE-500 series (excluding CUE-501, which has been licensed to BI);</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assess maturing clinical data of our CUE-100 series, including CUE-101 and CUE-102, which we have deprioritized and which have been licensed to IMSCP for development in oncology indications;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autoimmune and cancer programs to advance our other drug product candidates into preclinical and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drug product candidates for which we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drug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drug product candidates for which we may obtain marketing approval and intend to commercialize on our own or jointly;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manufacturing, quality, operational, financial and management systems, including personnel to support these functions;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 product candidates and technologies;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50" w:right="459" w:bottom="1440" w:gutter="0" w:footer="0" w:header="0"/>
        </w:sectPr>
      </w:pPr>
    </w:p>
    <w:bookmarkStart w:id="103" w:name="page104"/>
    <w:bookmarkEnd w:id="103"/>
    <w:p>
      <w:pPr>
        <w:spacing w:after="0" w:line="5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Accounting Standards Update, or ASU, 2014-15, Presentation of Financial Statements—Going Concern (Subtopic 205-40), or, ASC 205-40, we have the responsibility to evaluate whether conditions or events raise substantial doubt about our ability to meet our future financial obligations as they become due within one year after the date the financial statements are issued. Under ASC 205-40, this evaluation initially cannot take into consideration the potential mitigating effects of plans that have not been fully implemented as of the date the financial statements are issued. We currently believe that our existing cash and cash equivalents as of December 31, 2025 will allow us to fund our operations into the first quarter of 2027. As a result, we have determined that this cash runway of less than 12 months from the date of issuance of our financial statements included in this Annual Report on Form 10-K, along with our accumulated deficit, history of losses, future expected losses and uncertain future capital resources, meet the ASC 205-40 standard for raising substantial doubt about our ability to continue as a going concern within one year of the issuance date of our financial statements included in this Annual Report on Form 10-K. While we have plans in place to mitigate this risk, which primarily consist of raising additional capital through a combination of equity offerings, collaborations, and other strategic alliances, and, depending on the availability and level of additional financings, and cash expenditure reduction, there is no guarantee that we will be successful in these mitigation efforts.</w:t>
      </w:r>
    </w:p>
    <w:p>
      <w:pPr>
        <w:spacing w:after="0" w:line="84"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will need to raise additional capital or incur additional indebtedness to continue to fund our operations in the near term. Our ability to raise additional funds will depend on financial, economic and market conditions, many of which are outside of our control, and we may be unable to raise financing when needed, or on terms favorable to us. If we are unable to raise additional funds when needed, we may be required to delay, reduce or eliminate our product development or future commercialization efforts, or grant rights to develop and market drug product candidates that we would otherwise prefer to develop and market ourselves, which could adversely affect our business prospects, and we may be unable to continue our operations. Because of numerous risks and uncertainties associated with the research, development and commercialization of our drug product candidates, we are unable to estimate the exact amount of our working capital requirements. Factors that may affect our planned future capital requirements and accelerate our need for additional working capital include the following:</w:t>
      </w:r>
    </w:p>
    <w:p>
      <w:pPr>
        <w:spacing w:after="0" w:line="84" w:lineRule="exact"/>
        <w:rPr>
          <w:sz w:val="20"/>
          <w:szCs w:val="20"/>
          <w:color w:val="auto"/>
        </w:rPr>
      </w:pPr>
    </w:p>
    <w:p>
      <w:pPr>
        <w:ind w:left="1020" w:right="4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scope and costs of our clinical trials, including the ability to timely enroll patients in our ongoing, planned and any future clinical trials;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 by the FDA and other comparable regulatory authorities, including the potential that the FDA or other comparable regulatory authorities may require that we perform more studies than those that we currently expect;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drug product candidates that we may in-license and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drug product candidates, if approved;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sales and other revenues from drug product candidates that we may commercialize, if any, including the selling prices for such potential products and the availability of adequate third-party reimbursement;</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costs associated with our potential products, including the cost and timing of expanding our marketing and sales capabilities;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existing collaborations, licensing or other arrangements or any potential future collaborations, licensing or other arrangements that we may establish;</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requirements of any future acquisitions and/or the development of other drug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outsourced manufacturing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general economic and market conditions, inflation, and the imposition of new or revised global trade tariffs;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disputes which may occur between us and our employees, collaborators, including Einstein, LG Chem, BI or IMSCP or other prospective business partners;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w:t>
      </w:r>
    </w:p>
    <w:p>
      <w:pPr>
        <w:spacing w:after="0" w:line="22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drug product candidates could significantly change the costs and timing associated with the development of that drug product candidate. Further, our operating plans may change in the future, and we may need additional funds to meet operational needs and capital requirements associated with such operating plans.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public or private equity offerings, debt financings, collaborations, strategic partnerships or marketing, distribution or licensing arrangements with third parties and grants from organizations and foundations. If we raise additional funds by selling shares of our common stock or other equity-linked securities, the ownership interest of our current stockholders will be diluted. New investors may demand rights, preferences or privileges senior to those of existing holders of our common stock. If we issue debt securities, we may be required to grant security interests in our assets, could have substantial debt service obligations, and lenders may have a senior position (compared to stockholders) in any potential future bankruptcy or liquidation. We may seek to access the public or private capital markets whenever conditions are favorable, even if we do not have an immediate need for additional capital at that time. If we raise additional funds through collaborations, strategic alliances or marketing, distribution or licensing arrangements with third parties, we may have to relinquish valuable rights to our technologies, future revenue streams or drug product candidates or to grant licenses on terms that may not be acceptable to us. Additionally, corporate collaboration and licensing arrangements may require us to incur non-recurring and other charges, give up certain rights relating to our intellectual property and research and development activities, increase our near and long-term expenditures, issue securities that dilute our existing stockholders, issue debt which may require liens on our assets and which will increase our monthly expense obligations, or disrupt our management and business.</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raise additional capital when needed, we may be required to curtail the development of our technology or materially curtail or reduce our operations. We could be forced to sell or dispose of our rights or assets. Any inability to raise adequate funds on commercially reasonable terms could have a material adverse effect on our business, results of operations and financial condition, including the possibility that a lack of funds could cause our business to fail, dissolve and liquidate with little or no return to investors.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Commitments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Leased Facilities</w:t>
      </w:r>
    </w:p>
    <w:p>
      <w:pPr>
        <w:spacing w:after="0" w:line="18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March 28, 2022, we entered into a License Agreement, or the License, with MIL 40G, LLC, or the Licensor, pursuant to which we lease approximately 13,000 square feet of office, research and development and laboratory space located at 40 Guest Street, Boston, Massachusetts 02135, or the Premises. We recognized a right of use asset of $9.1 million and an operating lease liability of $9.1 million which were recorded as of the Term Commencement Date (as defined below) related to the License.</w:t>
      </w:r>
    </w:p>
    <w:p>
      <w:pPr>
        <w:spacing w:after="0" w:line="13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term of the License commenced on April 15, 2022, or the Term Commencement Date, and expires on April 14, 2026, or the Term. The License has a monthly rental rate of $200,700 for the first year of the Term, $208,728 for the second year of the Term, $217,077 for the third year of the Term and $225,760 for the remainder of the Term. Pursuant to the License, we prepaid two months of rent and a security deposit. The Licensor is obligated under the License to provide certain services to us, including providing certain gases, chemicals and equipment to the Premises’ laboratory space, IT support, security, office support and health and safety training. The Licensor has the right to terminate the License for Cause (as defined in the License).</w:t>
      </w:r>
    </w:p>
    <w:p>
      <w:pPr>
        <w:spacing w:after="0" w:line="156"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On May 3, 2022, we entered into the First Amendment to the License, or the First Amendment, with the Licensor, pursuant to which the License was expanded to include an additional room effective July 15, 2022. In consideration of the First Amendment, the security deposit was increased from $225,760 to $235,884 effective July 15, 2022. Upon execution of the First Amendment, we prepaid three months of rent, two of which will be held in escrow and credited against future rent payments and the other of which was applied to the first month’s rent. Effective July 15, 2022, the monthly rental rate under the First Amendment increased to $209,700 from $200,700. During the year ended December 31, 2022, we recognized a right of use asset of $0.4 million and short and long term operating lease liabilities of $0.1 million and $0.3 million, respectively, using a discount rate of 8%, which were recorded as of the Term Commencement Date related to the License.</w:t>
      </w:r>
    </w:p>
    <w:p>
      <w:pPr>
        <w:spacing w:after="0" w:line="148"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On May 31, 2022, we entered into an operating lease for additional laboratory space at 40 Guest Street, Boston, Massachusetts for the period from December 1, 2022, through December 1, 2024, or the 40G Additional Laboratory Lease. The 40G Additional Laboratory Lease contains escalating payments during the lease period. The monthly rental rate under the 40G Additional Laboratory Lease was $59,153 for the first 12 months and $61,519 for the remainder of the initial term. Under the terms of the 40G Additional Laboratory Lease, we prepaid three months of rent, two of which are held in escrow and credited against future rent payments and the other of which was applied to the first month’s rent. On November 20, 2024, we extended the lease through July 14, 2026. The monthly rental rate is $61,519 through November 30, 2025 and $63,979 for the remainder of the term until July 14, 2026. During the year ended December 31, 2024, we recognized a right of use asset of $1.1 million and a short and long term operating lease liability of $0.7 million, and $0.4 million, respectively, using a discount 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of 10%, which were recorded as of the Term Commencement Date related to the 40G Additional Laboratory Lease, as amended.</w:t>
      </w:r>
    </w:p>
    <w:p>
      <w:pPr>
        <w:spacing w:after="0" w:line="198" w:lineRule="exact"/>
        <w:rPr>
          <w:sz w:val="20"/>
          <w:szCs w:val="20"/>
          <w:color w:val="auto"/>
        </w:rPr>
      </w:pPr>
    </w:p>
    <w:p>
      <w:pPr>
        <w:ind w:firstLine="794"/>
        <w:spacing w:after="0" w:line="261" w:lineRule="auto"/>
        <w:rPr>
          <w:sz w:val="20"/>
          <w:szCs w:val="20"/>
          <w:color w:val="auto"/>
        </w:rPr>
      </w:pPr>
      <w:r>
        <w:rPr>
          <w:rFonts w:ascii="Times New Roman" w:cs="Times New Roman" w:eastAsia="Times New Roman" w:hAnsi="Times New Roman"/>
          <w:sz w:val="18"/>
          <w:szCs w:val="18"/>
          <w:color w:val="auto"/>
        </w:rPr>
        <w:t>On November 20, 2024, we extended the term of the 40G Additional Laboratory Lease through July 14, 2026. The monthly rental rate was $61,519 through November 30, 2025 and $63,979 for the remainder of the term until July 14, 2026. During the year ended December 31, 2024, we recognized a right of use asset of $1.1 million and short term and long term operating lease liabilities of $0.7 million, and $0.4 million, respectively, using a discount rate of 10%, which were recorded as of the Term Commencement Date related to the 40G Additional Laboratory Lease.</w:t>
      </w:r>
    </w:p>
    <w:p>
      <w:pPr>
        <w:spacing w:after="0" w:line="139" w:lineRule="exact"/>
        <w:rPr>
          <w:sz w:val="20"/>
          <w:szCs w:val="20"/>
          <w:color w:val="auto"/>
        </w:rPr>
      </w:pPr>
    </w:p>
    <w:p>
      <w:pPr>
        <w:ind w:right="60" w:firstLine="794"/>
        <w:spacing w:after="0" w:line="261" w:lineRule="auto"/>
        <w:rPr>
          <w:sz w:val="20"/>
          <w:szCs w:val="20"/>
          <w:color w:val="auto"/>
        </w:rPr>
      </w:pPr>
      <w:r>
        <w:rPr>
          <w:rFonts w:ascii="Times New Roman" w:cs="Times New Roman" w:eastAsia="Times New Roman" w:hAnsi="Times New Roman"/>
          <w:sz w:val="18"/>
          <w:szCs w:val="18"/>
          <w:color w:val="auto"/>
        </w:rPr>
        <w:t>On June 30, 2025, we entered into the Second Amendment to the License with the Licensor. Pursuant to the Second Amendment, effective June 30, 2025, the monthly rental rate for the Office and Laboratory Space decreased from $235,884 to $147,546, subject to a 4% increase on April 15, 2027, and the term of the License was extended from April 14, 2026 to April 14, 2028. In addition, the Licensor agreed to provide us a partial credit of $44,169 for rent we had paid at the new monthly rental rate for the month of June 2025.</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years ended December 31, 2025 and 2024, we recorded $0.4 million and $0.3 million, respectively, in interest expense to the lease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w:t>
      </w:r>
    </w:p>
    <w:p>
      <w:pPr>
        <w:spacing w:after="0" w:line="166"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At December 31, 2025, we recorded an operating lease right-of-use asset of $4.1 million, as well as corresponding short-term and long-term operating lease liabilities of $1.9 million and $2.3 million, respectively. At December 31, 2024, we recorded an operating lease right-of-use asset of $4.4 million, as well as corresponding short-term and long-term operating lease liabilities of $3.5 million and $1.0 million, respectively. As of December 31, 2025 and 2024, a security deposit of $0.5 million was included in deposits on our consolidated balance sheet related to our leases.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Einstein License Agreement</w:t>
      </w:r>
    </w:p>
    <w:p>
      <w:pPr>
        <w:spacing w:after="0" w:line="20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Our commitments with respect to the Einstein License are summarized above at “Significant Contracts and Agreements Related to Research and Development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we are not required to provide the information under this item.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financial statements and the related notes, together with the Report of Independent Registered Public Accounting Firm thereon, are set forth beginning on page F-1 of this Annual Report on Form 10-K.</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management performed, with the participation of our principal executive and principal financial officers, an evaluation of the effectiveness of our disclosure controls and procedures as defined in Rules 13a-15(e) and 15d-15(e) of the Exchange Act. Our disclosure controls and procedures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disclosures. Based on the evaluation, our principal executive and principal financial officers concluded that, as of December 31, 2025, our disclosure controls and procedures were effective.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02"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our principal financial officer, do not expect that our disclosure controls or our internal control over financial reporting will prevent or detect all errors and all fraud. A control system, no matter how well designed and operated, can provide only reasonable, not absolute, assurance that the control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06" w:name="page107"/>
    <w:bookmarkEnd w:id="106"/>
    <w:p>
      <w:pPr>
        <w:spacing w:after="0" w:line="254" w:lineRule="auto"/>
        <w:rPr>
          <w:sz w:val="20"/>
          <w:szCs w:val="20"/>
          <w:color w:val="auto"/>
        </w:rPr>
      </w:pPr>
      <w:r>
        <w:rPr>
          <w:rFonts w:ascii="Times New Roman" w:cs="Times New Roman" w:eastAsia="Times New Roman" w:hAnsi="Times New Roman"/>
          <w:sz w:val="18"/>
          <w:szCs w:val="18"/>
          <w:color w:val="auto"/>
        </w:rPr>
        <w:t>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a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 effectiveness to future periods are subject to risks. Over time, controls may become inadequate because of changes in conditions or deterioration in the degree of compliance with policies or procedures.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Management evaluated the effectiveness of our internal control over financial reporting using the criteria set forth by the Committee of Sponsoring Organizations of the Treadway Commission (COSO) in Internal Control Integrated Framework (the 2013 Framework). Based on this assessment, our management concluded that, as of December 31, 2025, our internal control over financial reporting was effective based on those criteria. All internal control systems, no matter how well designed, have inherent limitations. Therefore, even those systems determined to be effective can provide only reasonable assurance with respect to financial statement preparation and presentation. There were no changes in our internal control over financial reporting during the fiscal quarter ended December 31, 2025 that have materially affected, or are reasonably likely to materially affect, our internal control over financial reporting.</w:t>
      </w:r>
    </w:p>
    <w:p>
      <w:pPr>
        <w:spacing w:after="0" w:line="15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As a non-accelerated filer and a "smaller reporting company", as defined in Rule 12b-2 under the Exchange Act, our independent registered public accounting firm is not required to issue an attestation report on the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Director and Officer Trading Arrangements</w:t>
      </w:r>
    </w:p>
    <w:p>
      <w:pPr>
        <w:spacing w:after="0" w:line="18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or terminated a Rule 10b5-1 trading arrangement or a non-Rule 10b5-1 trading arrangement (as defined in Item 408(c) of Regulation S-K) during the three months ended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2" w:lineRule="exact"/>
        <w:rPr>
          <w:sz w:val="20"/>
          <w:szCs w:val="20"/>
          <w:color w:val="auto"/>
        </w:rPr>
      </w:pPr>
    </w:p>
    <w:p>
      <w:pPr>
        <w:ind w:right="40" w:firstLine="3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is incorporated by reference to our Definitive Proxy Statement on Schedule 14A relating to our 2026 annual meeting of stockholders to be filed with the SEC within 120 days after the end of the fiscal year covered by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jc w:val="both"/>
        <w:ind w:right="120" w:firstLine="36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11 (other than the information required by Item 402(v) of Regulation S-K) is incorporated by reference to our Proxy Statement on Schedule 14A relating to our 2026 annual meeting of stockholders to be filed with the SEC within 120 days after the end of the fiscal year covered by this Annual Report on Form 10-K.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Stockholders Matters.</w:t>
      </w:r>
    </w:p>
    <w:p>
      <w:pPr>
        <w:spacing w:after="0" w:line="189"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is incorporated by reference to our Proxy Statement on Schedule 14A relating to our 2026 annual meeting of stockholders to be filed with the SEC within 120 days after the end of the fiscal year covered by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02"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incorporated by reference to our Proxy Statement on Schedule 14A relating to our 2026 annual meeting of stockholders to be filed with the SEC within 120 days after the end of the fiscal year covered by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9"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incorporated by reference to our Proxy Statement on Schedule 14A relating to our 2026 annual meeting of stockholders to be filed with the SEC within 120 days after the end of the fiscal year covered by this Annual Report on Form 10-K.</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0" w:right="3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6060" w:type="dxa"/>
            <w:vAlign w:val="bottom"/>
            <w:gridSpan w:val="8"/>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920" w:type="dxa"/>
            <w:vAlign w:val="bottom"/>
          </w:tcPr>
          <w:p>
            <w:pPr>
              <w:spacing w:after="0"/>
              <w:rPr>
                <w:sz w:val="17"/>
                <w:szCs w:val="17"/>
                <w:color w:val="auto"/>
              </w:rPr>
            </w:pPr>
          </w:p>
        </w:tc>
      </w:tr>
      <w:tr>
        <w:trPr>
          <w:trHeight w:val="479"/>
        </w:trPr>
        <w:tc>
          <w:tcPr>
            <w:tcW w:w="32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19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1"/>
        </w:trPr>
        <w:tc>
          <w:tcPr>
            <w:tcW w:w="5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Reports of Independent Registered Public Accounting Firm PCAOB #49</w:t>
            </w:r>
          </w:p>
        </w:tc>
        <w:tc>
          <w:tcPr>
            <w:tcW w:w="3740" w:type="dxa"/>
            <w:vAlign w:val="bottom"/>
            <w:gridSpan w:val="5"/>
          </w:tcPr>
          <w:p>
            <w:pPr>
              <w:spacing w:after="0"/>
              <w:rPr>
                <w:sz w:val="24"/>
                <w:szCs w:val="24"/>
                <w:color w:val="auto"/>
              </w:rPr>
            </w:pPr>
          </w:p>
        </w:tc>
        <w:tc>
          <w:tcPr>
            <w:tcW w:w="192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w w:val="92"/>
              </w:rPr>
              <w:t>F-2</w:t>
            </w:r>
          </w:p>
        </w:tc>
      </w:tr>
      <w:tr>
        <w:trPr>
          <w:trHeight w:val="412"/>
        </w:trPr>
        <w:tc>
          <w:tcPr>
            <w:tcW w:w="93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Consolidated Balance Sheets at December 31, 2025 and 2024</w:t>
            </w:r>
          </w:p>
        </w:tc>
        <w:tc>
          <w:tcPr>
            <w:tcW w:w="192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w w:val="92"/>
              </w:rPr>
              <w:t>F-4</w:t>
            </w:r>
          </w:p>
        </w:tc>
      </w:tr>
      <w:tr>
        <w:trPr>
          <w:trHeight w:val="20"/>
        </w:trPr>
        <w:tc>
          <w:tcPr>
            <w:tcW w:w="3640" w:type="dxa"/>
            <w:vAlign w:val="bottom"/>
            <w:gridSpan w:val="2"/>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93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Consolidated Statements of Operations for the years ended December 31, 2025 and 2024</w:t>
            </w:r>
          </w:p>
        </w:tc>
        <w:tc>
          <w:tcPr>
            <w:tcW w:w="192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w w:val="92"/>
              </w:rPr>
              <w:t>F-5</w:t>
            </w:r>
          </w:p>
        </w:tc>
      </w:tr>
      <w:tr>
        <w:trPr>
          <w:trHeight w:val="20"/>
        </w:trPr>
        <w:tc>
          <w:tcPr>
            <w:tcW w:w="3640" w:type="dxa"/>
            <w:vAlign w:val="bottom"/>
            <w:gridSpan w:val="2"/>
            <w:shd w:val="clear" w:color="auto" w:fill="0000FF"/>
          </w:tcPr>
          <w:p>
            <w:pPr>
              <w:spacing w:after="0" w:line="20" w:lineRule="exact"/>
              <w:rPr>
                <w:sz w:val="1"/>
                <w:szCs w:val="1"/>
                <w:color w:val="auto"/>
              </w:rPr>
            </w:pPr>
          </w:p>
        </w:tc>
        <w:tc>
          <w:tcPr>
            <w:tcW w:w="314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7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Consolidated Statements of Stockholders’ Equity for the years ended December 31, 2025 and 2024</w:t>
            </w:r>
          </w:p>
        </w:tc>
        <w:tc>
          <w:tcPr>
            <w:tcW w:w="1780" w:type="dxa"/>
            <w:vAlign w:val="bottom"/>
            <w:gridSpan w:val="2"/>
          </w:tcPr>
          <w:p>
            <w:pPr>
              <w:spacing w:after="0"/>
              <w:rPr>
                <w:sz w:val="24"/>
                <w:szCs w:val="24"/>
                <w:color w:val="auto"/>
              </w:rPr>
            </w:pPr>
          </w:p>
        </w:tc>
        <w:tc>
          <w:tcPr>
            <w:tcW w:w="192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w w:val="92"/>
              </w:rPr>
              <w:t>F-6</w:t>
            </w:r>
          </w:p>
        </w:tc>
      </w:tr>
      <w:tr>
        <w:trPr>
          <w:trHeight w:val="412"/>
        </w:trPr>
        <w:tc>
          <w:tcPr>
            <w:tcW w:w="6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Consolidated Statements of Cash Flows for the years ended December 31, 2025 and 2024</w:t>
            </w:r>
          </w:p>
        </w:tc>
        <w:tc>
          <w:tcPr>
            <w:tcW w:w="2520" w:type="dxa"/>
            <w:vAlign w:val="bottom"/>
            <w:gridSpan w:val="3"/>
          </w:tcPr>
          <w:p>
            <w:pPr>
              <w:spacing w:after="0"/>
              <w:rPr>
                <w:sz w:val="24"/>
                <w:szCs w:val="24"/>
                <w:color w:val="auto"/>
              </w:rPr>
            </w:pPr>
          </w:p>
        </w:tc>
        <w:tc>
          <w:tcPr>
            <w:tcW w:w="192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w w:val="92"/>
              </w:rPr>
              <w:t>F-7</w:t>
            </w:r>
          </w:p>
        </w:tc>
      </w:tr>
      <w:tr>
        <w:trPr>
          <w:trHeight w:val="412"/>
        </w:trPr>
        <w:tc>
          <w:tcPr>
            <w:tcW w:w="93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Notes to the Consolidated Financial Statements</w:t>
            </w:r>
          </w:p>
        </w:tc>
        <w:tc>
          <w:tcPr>
            <w:tcW w:w="192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w w:val="92"/>
              </w:rPr>
              <w:t>F-8</w:t>
            </w:r>
          </w:p>
        </w:tc>
      </w:tr>
      <w:tr>
        <w:trPr>
          <w:trHeight w:val="669"/>
        </w:trPr>
        <w:tc>
          <w:tcPr>
            <w:tcW w:w="3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4660" w:type="dxa"/>
            <w:vAlign w:val="bottom"/>
            <w:gridSpan w:val="6"/>
          </w:tcPr>
          <w:p>
            <w:pPr>
              <w:jc w:val="center"/>
              <w:ind w:right="2740"/>
              <w:spacing w:after="0"/>
              <w:rPr>
                <w:sz w:val="20"/>
                <w:szCs w:val="20"/>
                <w:color w:val="auto"/>
              </w:rPr>
            </w:pPr>
            <w:r>
              <w:rPr>
                <w:rFonts w:ascii="Times New Roman" w:cs="Times New Roman" w:eastAsia="Times New Roman" w:hAnsi="Times New Roman"/>
                <w:sz w:val="18"/>
                <w:szCs w:val="18"/>
                <w:color w:val="auto"/>
                <w:w w:val="95"/>
              </w:rPr>
              <w:t>F-1</w:t>
            </w:r>
          </w:p>
        </w:tc>
        <w:tc>
          <w:tcPr>
            <w:tcW w:w="1920" w:type="dxa"/>
            <w:vAlign w:val="bottom"/>
          </w:tcPr>
          <w:p>
            <w:pPr>
              <w:spacing w:after="0"/>
              <w:rPr>
                <w:sz w:val="24"/>
                <w:szCs w:val="24"/>
                <w:color w:val="auto"/>
              </w:rPr>
            </w:pPr>
          </w:p>
        </w:tc>
      </w:tr>
      <w:tr>
        <w:trPr>
          <w:trHeight w:val="763"/>
        </w:trPr>
        <w:tc>
          <w:tcPr>
            <w:tcW w:w="3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09" w:name="page110"/>
    <w:bookmarkEnd w:id="109"/>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Cue Biopharma,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Cue Biopharma, Inc. and its subsidiary (the Company) as of December 31, 2025 and 2024, the related consolidated statements of operations,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recurring losses from operations and used cash in operations in each of the two years ended December 31, 2025 and 2024. This raises substantial doubt about the Company’s ability to continue as a going concern. Management’s plans in regard to these matters also are described in Note 1. The financial statements do not include any adjustments that might result from the outcome of this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separate opinions on the critical audit matter or on the accounts or disclosures to which they relate.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w:t>
      </w:r>
    </w:p>
    <w:p>
      <w:pPr>
        <w:spacing w:after="0" w:line="31" w:lineRule="exact"/>
        <w:rPr>
          <w:sz w:val="20"/>
          <w:szCs w:val="20"/>
          <w:color w:val="auto"/>
        </w:rPr>
      </w:pPr>
    </w:p>
    <w:p>
      <w:pPr>
        <w:spacing w:after="0" w:line="216" w:lineRule="exact"/>
        <w:rPr>
          <w:sz w:val="20"/>
          <w:szCs w:val="20"/>
          <w:color w:val="auto"/>
        </w:rPr>
      </w:pPr>
      <w:r>
        <w:rPr>
          <w:rFonts w:ascii="Times New Roman" w:cs="Times New Roman" w:eastAsia="Times New Roman" w:hAnsi="Times New Roman"/>
          <w:sz w:val="18"/>
          <w:szCs w:val="18"/>
          <w:color w:val="auto"/>
        </w:rPr>
        <w:t>As described in Notes 5 and 10 to the financial statements, on November 6, 2025 the Company entered into a Collaboration and License Agreement with ImmunoScape Pte. Ltd. (IMSCP) that included upfront and deferred cash payments totaling $15 million, an equity interest of 40% through shares and warrants, and the potential for future royalty and sublicense payments. Management determined that the collaboration resulted in the transfer of a single license to a customer, which was delivered at the start of the agreement, and recognized revenue of $18.9 million during the year ended December 31, 2025 based on the estimated value of the consideration received, including the equity interest. The Company determined it was not required to consolidate IMSCP and therefore accounted for the equity interest in IMSCP using the equity method. Because IMSCP’s activities are primarily research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the Company recognized $3.9 million of research and development expense during the year ended December 31, 2025, which reduced the equity investment balance to zero.</w:t>
      </w:r>
    </w:p>
    <w:p>
      <w:pPr>
        <w:spacing w:after="0" w:line="20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identified the accounting for the IMSCP Collaboration and License Agreement as a critical audit matter because auditing this matter required significant auditor judgment in assessing a) the Company’s application of the authoritative guidance and b) management’s use of a valuation model to determine the fair value of non-cash consideration received because of certain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significant assumptions management makes in determining the estimate, including obsolescence rates and the developer’s profit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this matter included, among others:</w:t>
      </w:r>
    </w:p>
    <w:p>
      <w:pPr>
        <w:spacing w:after="0" w:line="27" w:lineRule="exact"/>
        <w:rPr>
          <w:sz w:val="20"/>
          <w:szCs w:val="20"/>
          <w:color w:val="auto"/>
        </w:rPr>
      </w:pPr>
    </w:p>
    <w:p>
      <w:pPr>
        <w:ind w:left="660" w:hanging="371"/>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management’s application of revenue recognition, including (i) the identification of promised goods and services, (ii) the determination that there is one distinct performance obligation, and (iii) the point in time revenue recognition conclusion.</w:t>
      </w:r>
    </w:p>
    <w:p>
      <w:pPr>
        <w:ind w:left="660" w:right="60" w:hanging="371"/>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management’s consolidation analysis, including the evaluation of the rights of each equity holder and assessment of the power to direct the activities that most significantly affect IMSCP’s economic performance.</w:t>
      </w:r>
    </w:p>
    <w:p>
      <w:pPr>
        <w:ind w:left="660" w:right="220" w:hanging="371"/>
        <w:spacing w:after="0" w:line="25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application of the equity method, including evaluating the identification and measurement of basis differences, assessing whether IMSCP met the definition of a business, and verifying the in-process research and development write-off.</w:t>
      </w:r>
    </w:p>
    <w:p>
      <w:pPr>
        <w:ind w:left="660" w:hanging="371"/>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valuation specialists, we tested the valuation of non-cash consideration received, including:</w:t>
      </w:r>
    </w:p>
    <w:p>
      <w:pPr>
        <w:spacing w:after="0" w:line="9" w:lineRule="exact"/>
        <w:rPr>
          <w:sz w:val="20"/>
          <w:szCs w:val="20"/>
          <w:color w:val="auto"/>
        </w:rPr>
      </w:pPr>
    </w:p>
    <w:p>
      <w:pPr>
        <w:ind w:left="1500" w:hanging="369"/>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fair value of IMSCP’s ordinary shares and warrants,</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methodologies used in the valuation model, and</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certain assumptions including obsolescence rates and developer’s profit rate.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CUE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Borders>
              <w:bottom w:val="single" w:sz="8" w:color="auto"/>
            </w:tcBorders>
          </w:tcPr>
          <w:p>
            <w:pPr>
              <w:spacing w:after="0"/>
              <w:rPr>
                <w:sz w:val="20"/>
                <w:szCs w:val="20"/>
                <w:color w:val="auto"/>
              </w:rPr>
            </w:pPr>
          </w:p>
        </w:tc>
      </w:tr>
      <w:tr>
        <w:trPr>
          <w:trHeight w:val="210"/>
        </w:trPr>
        <w:tc>
          <w:tcPr>
            <w:tcW w:w="7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27,136</w:t>
            </w:r>
          </w:p>
        </w:tc>
        <w:tc>
          <w:tcPr>
            <w:tcW w:w="66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22,459</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5,546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945</w:t>
            </w: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Deposits, current portion</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1,093</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929</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805</w:t>
            </w:r>
          </w:p>
        </w:tc>
      </w:tr>
      <w:tr>
        <w:trPr>
          <w:trHeight w:val="216"/>
        </w:trPr>
        <w:tc>
          <w:tcPr>
            <w:tcW w:w="75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Foreign withholding tax receivable</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1,899</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36,983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25,138</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471</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4,074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4,370</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net of current portion</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1,955</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 term assets</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r>
      <w:tr>
        <w:trPr>
          <w:trHeight w:val="20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42,212</w:t>
            </w:r>
          </w:p>
        </w:tc>
        <w:tc>
          <w:tcPr>
            <w:tcW w:w="66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32,191</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3,948</w:t>
            </w:r>
          </w:p>
        </w:tc>
        <w:tc>
          <w:tcPr>
            <w:tcW w:w="66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2,823</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2,908</w:t>
            </w: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 contract liability, current portion</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5,335</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1,911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3,540</w:t>
            </w: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4,333</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payable</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13,494</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13,689</w:t>
            </w:r>
          </w:p>
        </w:tc>
      </w:tr>
      <w:tr>
        <w:trPr>
          <w:trHeight w:val="216"/>
        </w:trPr>
        <w:tc>
          <w:tcPr>
            <w:tcW w:w="756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2,286</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1,003</w:t>
            </w:r>
          </w:p>
        </w:tc>
      </w:tr>
      <w:tr>
        <w:trPr>
          <w:trHeight w:val="250"/>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15,780</w:t>
            </w:r>
          </w:p>
        </w:tc>
        <w:tc>
          <w:tcPr>
            <w:tcW w:w="1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14,692</w:t>
            </w:r>
          </w:p>
        </w:tc>
      </w:tr>
      <w:tr>
        <w:trPr>
          <w:trHeight w:val="196"/>
        </w:trPr>
        <w:tc>
          <w:tcPr>
            <w:tcW w:w="7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14)</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198"/>
        </w:trPr>
        <w:tc>
          <w:tcPr>
            <w:tcW w:w="7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and 0 shares issued and outstanding at</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and December 31, 2024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300,000,000 and 200,000,000 shares authorized at December 31,</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and December 31, 2024, respectively; 96,621,218 and 61,819,101 shares issued and outstanding</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34"/>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2025 and 2024, respectively</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394,801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359,301</w:t>
            </w:r>
          </w:p>
        </w:tc>
      </w:tr>
      <w:tr>
        <w:trPr>
          <w:trHeight w:val="216"/>
        </w:trPr>
        <w:tc>
          <w:tcPr>
            <w:tcW w:w="75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(368,466)</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(341,864)</w:t>
            </w:r>
          </w:p>
        </w:tc>
      </w:tr>
      <w:tr>
        <w:trPr>
          <w:trHeight w:val="21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26,432</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17,499</w:t>
            </w:r>
          </w:p>
        </w:tc>
      </w:tr>
      <w:tr>
        <w:trPr>
          <w:trHeight w:val="230"/>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42,212</w:t>
            </w:r>
          </w:p>
        </w:tc>
        <w:tc>
          <w:tcPr>
            <w:tcW w:w="660" w:type="dxa"/>
            <w:vAlign w:val="bottom"/>
            <w:gridSpan w:val="2"/>
            <w:shd w:val="clear" w:color="auto" w:fill="CFF0FC"/>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32,191</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-4105275</wp:posOffset>
            </wp:positionV>
            <wp:extent cx="1200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-3274060</wp:posOffset>
            </wp:positionV>
            <wp:extent cx="1200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-1576705</wp:posOffset>
            </wp:positionV>
            <wp:extent cx="1200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-1559560</wp:posOffset>
            </wp:positionV>
            <wp:extent cx="1200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-1722120</wp:posOffset>
            </wp:positionV>
            <wp:extent cx="1200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-316865</wp:posOffset>
            </wp:positionV>
            <wp:extent cx="1200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200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200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CUE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10"/>
        </w:trPr>
        <w:tc>
          <w:tcPr>
            <w:tcW w:w="6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27,466</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9,287</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 (income):</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16,244</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14,585</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37,743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36,295</w:t>
            </w:r>
          </w:p>
        </w:tc>
        <w:tc>
          <w:tcPr>
            <w:tcW w:w="100" w:type="dxa"/>
            <w:vAlign w:val="bottom"/>
          </w:tcPr>
          <w:p>
            <w:pPr>
              <w:spacing w:after="0"/>
              <w:rPr>
                <w:sz w:val="18"/>
                <w:szCs w:val="18"/>
                <w:color w:val="auto"/>
              </w:rPr>
            </w:pPr>
          </w:p>
        </w:tc>
      </w:tr>
      <w:tr>
        <w:trPr>
          <w:trHeight w:val="216"/>
        </w:trPr>
        <w:tc>
          <w:tcPr>
            <w:tcW w:w="6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Loss (gain) on fixed asset disposal</w:t>
            </w:r>
          </w:p>
        </w:tc>
        <w:tc>
          <w:tcPr>
            <w:tcW w:w="14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54,018</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50,787</w:t>
            </w:r>
          </w:p>
        </w:tc>
        <w:tc>
          <w:tcPr>
            <w:tcW w:w="100" w:type="dxa"/>
            <w:vAlign w:val="bottom"/>
          </w:tcPr>
          <w:p>
            <w:pPr>
              <w:spacing w:after="0"/>
              <w:rPr>
                <w:sz w:val="18"/>
                <w:szCs w:val="18"/>
                <w:color w:val="auto"/>
              </w:rPr>
            </w:pPr>
          </w:p>
        </w:tc>
      </w:tr>
      <w:tr>
        <w:trPr>
          <w:trHeight w:val="210"/>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(26,552)</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4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8"/>
                <w:szCs w:val="18"/>
                <w:color w:val="auto"/>
              </w:rPr>
            </w:pPr>
          </w:p>
        </w:tc>
      </w:tr>
      <w:tr>
        <w:trPr>
          <w:trHeight w:val="210"/>
        </w:trPr>
        <w:tc>
          <w:tcPr>
            <w:tcW w:w="6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income, net</w:t>
            </w:r>
          </w:p>
        </w:tc>
        <w:tc>
          <w:tcPr>
            <w:tcW w:w="14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1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(40,674)</w:t>
            </w:r>
          </w:p>
        </w:tc>
        <w:tc>
          <w:tcPr>
            <w:tcW w:w="100" w:type="dxa"/>
            <w:vAlign w:val="bottom"/>
          </w:tcPr>
          <w:p>
            <w:pPr>
              <w:spacing w:after="0"/>
              <w:rPr>
                <w:sz w:val="18"/>
                <w:szCs w:val="18"/>
                <w:color w:val="auto"/>
              </w:rPr>
            </w:pPr>
          </w:p>
        </w:tc>
      </w:tr>
      <w:tr>
        <w:trPr>
          <w:trHeight w:val="216"/>
        </w:trPr>
        <w:tc>
          <w:tcPr>
            <w:tcW w:w="6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(26,602)</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(40,674)</w:t>
            </w:r>
          </w:p>
        </w:tc>
        <w:tc>
          <w:tcPr>
            <w:tcW w:w="100" w:type="dxa"/>
            <w:vAlign w:val="bottom"/>
          </w:tcPr>
          <w:p>
            <w:pPr>
              <w:spacing w:after="0"/>
              <w:rPr>
                <w:sz w:val="18"/>
                <w:szCs w:val="18"/>
                <w:color w:val="auto"/>
              </w:rPr>
            </w:pPr>
          </w:p>
        </w:tc>
      </w:tr>
      <w:tr>
        <w:trPr>
          <w:trHeight w:val="25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FF0FC"/>
          </w:tcPr>
          <w:p>
            <w:pPr>
              <w:spacing w:after="0"/>
              <w:rPr>
                <w:sz w:val="22"/>
                <w:szCs w:val="22"/>
                <w:color w:val="auto"/>
              </w:rPr>
            </w:pPr>
          </w:p>
        </w:tc>
      </w:tr>
      <w:tr>
        <w:trPr>
          <w:trHeight w:val="197"/>
        </w:trPr>
        <w:tc>
          <w:tcPr>
            <w:tcW w:w="61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4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94,731,768</w:t>
            </w:r>
          </w:p>
        </w:tc>
        <w:tc>
          <w:tcPr>
            <w:tcW w:w="18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56,328,348</w:t>
            </w:r>
          </w:p>
        </w:tc>
        <w:tc>
          <w:tcPr>
            <w:tcW w:w="100" w:type="dxa"/>
            <w:vAlign w:val="bottom"/>
            <w:tcBorders>
              <w:top w:val="single" w:sz="8" w:color="CFF0FC"/>
            </w:tcBorders>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-1610995</wp:posOffset>
            </wp:positionV>
            <wp:extent cx="1200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-1319530</wp:posOffset>
            </wp:positionV>
            <wp:extent cx="1200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-753745</wp:posOffset>
            </wp:positionV>
            <wp:extent cx="1200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-471170</wp:posOffset>
            </wp:positionV>
            <wp:extent cx="1200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120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1200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CUE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00" w:type="dxa"/>
            <w:vAlign w:val="bottom"/>
          </w:tcPr>
          <w:p>
            <w:pPr>
              <w:spacing w:after="0"/>
              <w:rPr>
                <w:sz w:val="13"/>
                <w:szCs w:val="13"/>
                <w:color w:val="auto"/>
              </w:rPr>
            </w:pPr>
          </w:p>
        </w:tc>
        <w:tc>
          <w:tcPr>
            <w:tcW w:w="224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5"/>
              </w:rPr>
              <w:t>Additional Paid-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right"/>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Par</w:t>
            </w: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center"/>
              <w:ind w:right="137"/>
              <w:spacing w:after="0" w:line="109" w:lineRule="exact"/>
              <w:rPr>
                <w:sz w:val="20"/>
                <w:szCs w:val="20"/>
                <w:color w:val="auto"/>
              </w:rPr>
            </w:pPr>
            <w:r>
              <w:rPr>
                <w:rFonts w:ascii="Times New Roman" w:cs="Times New Roman" w:eastAsia="Times New Roman" w:hAnsi="Times New Roman"/>
                <w:sz w:val="12"/>
                <w:szCs w:val="12"/>
                <w:b w:val="1"/>
                <w:bCs w:val="1"/>
                <w:color w:val="auto"/>
                <w:w w:val="99"/>
              </w:rPr>
              <w:t>in</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jc w:val="right"/>
              <w:ind w:right="257"/>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jc w:val="center"/>
              <w:ind w:right="217"/>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2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8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3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44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December 31, 2023</w:t>
            </w:r>
          </w:p>
        </w:tc>
        <w:tc>
          <w:tcPr>
            <w:tcW w:w="12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47,215,116</w:t>
            </w:r>
          </w:p>
        </w:tc>
        <w:tc>
          <w:tcPr>
            <w:tcW w:w="980" w:type="dxa"/>
            <w:vAlign w:val="bottom"/>
            <w:gridSpan w:val="2"/>
            <w:shd w:val="clear" w:color="auto" w:fill="CFF0FC"/>
          </w:tcPr>
          <w:p>
            <w:pPr>
              <w:jc w:val="right"/>
              <w:ind w:right="7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47</w:t>
            </w:r>
          </w:p>
        </w:tc>
        <w:tc>
          <w:tcPr>
            <w:tcW w:w="2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338,228</w:t>
            </w:r>
          </w:p>
        </w:tc>
        <w:tc>
          <w:tcPr>
            <w:tcW w:w="3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(301,190)</w:t>
            </w:r>
          </w:p>
        </w:tc>
        <w:tc>
          <w:tcPr>
            <w:tcW w:w="2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37,085</w:t>
            </w:r>
          </w:p>
        </w:tc>
        <w:tc>
          <w:tcPr>
            <w:tcW w:w="0" w:type="dxa"/>
            <w:vAlign w:val="bottom"/>
          </w:tcPr>
          <w:p>
            <w:pPr>
              <w:spacing w:after="0"/>
              <w:rPr>
                <w:sz w:val="1"/>
                <w:szCs w:val="1"/>
                <w:color w:val="auto"/>
              </w:rPr>
            </w:pPr>
          </w:p>
        </w:tc>
      </w:tr>
      <w:tr>
        <w:trPr>
          <w:trHeight w:val="117"/>
        </w:trPr>
        <w:tc>
          <w:tcPr>
            <w:tcW w:w="44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from ATM offering, net of sales agent commission and</w:t>
            </w: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fees</w:t>
            </w:r>
          </w:p>
        </w:tc>
        <w:tc>
          <w:tcPr>
            <w:tcW w:w="1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1,471,858</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3,410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3,411</w:t>
            </w:r>
          </w:p>
        </w:tc>
        <w:tc>
          <w:tcPr>
            <w:tcW w:w="0" w:type="dxa"/>
            <w:vAlign w:val="bottom"/>
          </w:tcPr>
          <w:p>
            <w:pPr>
              <w:spacing w:after="0"/>
              <w:rPr>
                <w:sz w:val="1"/>
                <w:szCs w:val="1"/>
                <w:color w:val="auto"/>
              </w:rPr>
            </w:pPr>
          </w:p>
        </w:tc>
      </w:tr>
      <w:tr>
        <w:trPr>
          <w:trHeight w:val="135"/>
        </w:trPr>
        <w:tc>
          <w:tcPr>
            <w:tcW w:w="4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warrants and pre-funded warrants, net of issuance costs</w:t>
            </w:r>
          </w:p>
        </w:tc>
        <w:tc>
          <w:tcPr>
            <w:tcW w:w="12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11,564,401</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10,801</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10,813</w:t>
            </w: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2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6,846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6,846</w:t>
            </w:r>
          </w:p>
        </w:tc>
        <w:tc>
          <w:tcPr>
            <w:tcW w:w="0" w:type="dxa"/>
            <w:vAlign w:val="bottom"/>
          </w:tcPr>
          <w:p>
            <w:pPr>
              <w:spacing w:after="0"/>
              <w:rPr>
                <w:sz w:val="1"/>
                <w:szCs w:val="1"/>
                <w:color w:val="auto"/>
              </w:rPr>
            </w:pPr>
          </w:p>
        </w:tc>
      </w:tr>
      <w:tr>
        <w:trPr>
          <w:trHeight w:val="135"/>
        </w:trPr>
        <w:tc>
          <w:tcPr>
            <w:tcW w:w="44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upon exercise of warrants and pre-funded warrants, net</w:t>
            </w:r>
          </w:p>
        </w:tc>
        <w:tc>
          <w:tcPr>
            <w:tcW w:w="12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1,567,726</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6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(40,674)</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(40,674)</w:t>
            </w:r>
          </w:p>
        </w:tc>
        <w:tc>
          <w:tcPr>
            <w:tcW w:w="0" w:type="dxa"/>
            <w:vAlign w:val="bottom"/>
          </w:tcPr>
          <w:p>
            <w:pPr>
              <w:spacing w:after="0"/>
              <w:rPr>
                <w:sz w:val="1"/>
                <w:szCs w:val="1"/>
                <w:color w:val="auto"/>
              </w:rPr>
            </w:pPr>
          </w:p>
        </w:tc>
      </w:tr>
      <w:tr>
        <w:trPr>
          <w:trHeight w:val="128"/>
        </w:trPr>
        <w:tc>
          <w:tcPr>
            <w:tcW w:w="44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December 31, 2024</w:t>
            </w:r>
          </w:p>
        </w:tc>
        <w:tc>
          <w:tcPr>
            <w:tcW w:w="126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61,819,101</w:t>
            </w:r>
          </w:p>
        </w:tc>
        <w:tc>
          <w:tcPr>
            <w:tcW w:w="980" w:type="dxa"/>
            <w:vAlign w:val="bottom"/>
            <w:gridSpan w:val="2"/>
            <w:shd w:val="clear" w:color="auto" w:fill="CFF0FC"/>
          </w:tcPr>
          <w:p>
            <w:pPr>
              <w:jc w:val="right"/>
              <w:ind w:right="7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62</w:t>
            </w:r>
          </w:p>
        </w:tc>
        <w:tc>
          <w:tcPr>
            <w:tcW w:w="2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359,301</w:t>
            </w:r>
          </w:p>
        </w:tc>
        <w:tc>
          <w:tcPr>
            <w:tcW w:w="3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(341,864)</w:t>
            </w:r>
          </w:p>
        </w:tc>
        <w:tc>
          <w:tcPr>
            <w:tcW w:w="2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17,499</w:t>
            </w:r>
          </w:p>
        </w:tc>
        <w:tc>
          <w:tcPr>
            <w:tcW w:w="0" w:type="dxa"/>
            <w:vAlign w:val="bottom"/>
          </w:tcPr>
          <w:p>
            <w:pPr>
              <w:spacing w:after="0"/>
              <w:rPr>
                <w:sz w:val="1"/>
                <w:szCs w:val="1"/>
                <w:color w:val="auto"/>
              </w:rPr>
            </w:pPr>
          </w:p>
        </w:tc>
      </w:tr>
      <w:tr>
        <w:trPr>
          <w:trHeight w:val="117"/>
        </w:trPr>
        <w:tc>
          <w:tcPr>
            <w:tcW w:w="44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from ATM offering, net of sales agent commission and</w:t>
            </w: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fees</w:t>
            </w:r>
          </w:p>
        </w:tc>
        <w:tc>
          <w:tcPr>
            <w:tcW w:w="1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3,414,197</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2,499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2,502</w:t>
            </w:r>
          </w:p>
        </w:tc>
        <w:tc>
          <w:tcPr>
            <w:tcW w:w="0" w:type="dxa"/>
            <w:vAlign w:val="bottom"/>
          </w:tcPr>
          <w:p>
            <w:pPr>
              <w:spacing w:after="0"/>
              <w:rPr>
                <w:sz w:val="1"/>
                <w:szCs w:val="1"/>
                <w:color w:val="auto"/>
              </w:rPr>
            </w:pPr>
          </w:p>
        </w:tc>
      </w:tr>
      <w:tr>
        <w:trPr>
          <w:trHeight w:val="183"/>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of common stock, warrants and pre-funded warrants, net of issuance costs</w:t>
            </w:r>
          </w:p>
        </w:tc>
        <w:tc>
          <w:tcPr>
            <w:tcW w:w="126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31,387,920</w:t>
            </w:r>
          </w:p>
        </w:tc>
        <w:tc>
          <w:tcPr>
            <w:tcW w:w="14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32</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28,257</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CFF0FC"/>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28,289</w:t>
            </w:r>
          </w:p>
        </w:tc>
        <w:tc>
          <w:tcPr>
            <w:tcW w:w="0" w:type="dxa"/>
            <w:vAlign w:val="bottom"/>
          </w:tcPr>
          <w:p>
            <w:pPr>
              <w:spacing w:after="0"/>
              <w:rPr>
                <w:sz w:val="1"/>
                <w:szCs w:val="1"/>
                <w:color w:val="auto"/>
              </w:rPr>
            </w:pPr>
          </w:p>
        </w:tc>
      </w:tr>
      <w:tr>
        <w:trPr>
          <w:trHeight w:val="164"/>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2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4,744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4,744</w:t>
            </w:r>
          </w:p>
        </w:tc>
        <w:tc>
          <w:tcPr>
            <w:tcW w:w="0" w:type="dxa"/>
            <w:vAlign w:val="bottom"/>
          </w:tcPr>
          <w:p>
            <w:pPr>
              <w:spacing w:after="0"/>
              <w:rPr>
                <w:sz w:val="1"/>
                <w:szCs w:val="1"/>
                <w:color w:val="auto"/>
              </w:rPr>
            </w:pPr>
          </w:p>
        </w:tc>
      </w:tr>
      <w:tr>
        <w:trPr>
          <w:trHeight w:val="38"/>
        </w:trPr>
        <w:tc>
          <w:tcPr>
            <w:tcW w:w="440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440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2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(26,602)</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(26,602)</w:t>
            </w:r>
          </w:p>
        </w:tc>
        <w:tc>
          <w:tcPr>
            <w:tcW w:w="0" w:type="dxa"/>
            <w:vAlign w:val="bottom"/>
          </w:tcPr>
          <w:p>
            <w:pPr>
              <w:spacing w:after="0"/>
              <w:rPr>
                <w:sz w:val="1"/>
                <w:szCs w:val="1"/>
                <w:color w:val="auto"/>
              </w:rPr>
            </w:pPr>
          </w:p>
        </w:tc>
      </w:tr>
      <w:tr>
        <w:trPr>
          <w:trHeight w:val="128"/>
        </w:trPr>
        <w:tc>
          <w:tcPr>
            <w:tcW w:w="44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Balance, December 31, 2025</w:t>
            </w:r>
          </w:p>
        </w:tc>
        <w:tc>
          <w:tcPr>
            <w:tcW w:w="12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96,621,218</w:t>
            </w:r>
          </w:p>
        </w:tc>
        <w:tc>
          <w:tcPr>
            <w:tcW w:w="980" w:type="dxa"/>
            <w:vAlign w:val="bottom"/>
            <w:gridSpan w:val="2"/>
          </w:tcPr>
          <w:p>
            <w:pPr>
              <w:jc w:val="right"/>
              <w:ind w:right="7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97</w:t>
            </w:r>
          </w:p>
        </w:tc>
        <w:tc>
          <w:tcPr>
            <w:tcW w:w="2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394,801</w:t>
            </w:r>
          </w:p>
        </w:tc>
        <w:tc>
          <w:tcPr>
            <w:tcW w:w="3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(368,466)</w:t>
            </w:r>
          </w:p>
        </w:tc>
        <w:tc>
          <w:tcPr>
            <w:tcW w:w="2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26,432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-119380</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-119380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-119380</wp:posOffset>
            </wp:positionV>
            <wp:extent cx="1200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-119380</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CUE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99"/>
        </w:trPr>
        <w:tc>
          <w:tcPr>
            <w:tcW w:w="8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8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(26,602)</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(40,674)</w:t>
            </w:r>
          </w:p>
        </w:tc>
      </w:tr>
      <w:tr>
        <w:trPr>
          <w:trHeight w:val="203"/>
        </w:trPr>
        <w:tc>
          <w:tcPr>
            <w:tcW w:w="8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8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397</w:t>
            </w:r>
          </w:p>
        </w:tc>
      </w:tr>
      <w:tr>
        <w:trPr>
          <w:trHeight w:val="203"/>
        </w:trPr>
        <w:tc>
          <w:tcPr>
            <w:tcW w:w="8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4,744</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6,846</w:t>
            </w:r>
          </w:p>
        </w:tc>
      </w:tr>
      <w:tr>
        <w:trPr>
          <w:trHeight w:val="203"/>
        </w:trPr>
        <w:tc>
          <w:tcPr>
            <w:tcW w:w="8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Decrease in the carrying amount of right-of-use assets</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2,522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1,953</w:t>
            </w:r>
          </w:p>
        </w:tc>
      </w:tr>
      <w:tr>
        <w:trPr>
          <w:trHeight w:val="203"/>
        </w:trPr>
        <w:tc>
          <w:tcPr>
            <w:tcW w:w="8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Amortization of premium/discount on purchased securities</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(gain) on fixed asset disposal</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03"/>
        </w:trPr>
        <w:tc>
          <w:tcPr>
            <w:tcW w:w="8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r>
      <w:tr>
        <w:trPr>
          <w:trHeight w:val="202"/>
        </w:trPr>
        <w:tc>
          <w:tcPr>
            <w:tcW w:w="8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Accretion of final payment of term loans</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r>
      <w:tr>
        <w:trPr>
          <w:trHeight w:val="203"/>
        </w:trPr>
        <w:tc>
          <w:tcPr>
            <w:tcW w:w="8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8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753</w:t>
            </w:r>
          </w:p>
        </w:tc>
      </w:tr>
      <w:tr>
        <w:trPr>
          <w:trHeight w:val="203"/>
        </w:trPr>
        <w:tc>
          <w:tcPr>
            <w:tcW w:w="8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w:t>
            </w:r>
          </w:p>
        </w:tc>
      </w:tr>
      <w:tr>
        <w:trPr>
          <w:trHeight w:val="203"/>
        </w:trPr>
        <w:tc>
          <w:tcPr>
            <w:tcW w:w="8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Deposits</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w:t>
            </w:r>
          </w:p>
        </w:tc>
      </w:tr>
      <w:tr>
        <w:trPr>
          <w:trHeight w:val="203"/>
        </w:trPr>
        <w:tc>
          <w:tcPr>
            <w:tcW w:w="8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Foreign withholding tax receivable</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03"/>
        </w:trPr>
        <w:tc>
          <w:tcPr>
            <w:tcW w:w="8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w:t>
            </w:r>
          </w:p>
        </w:tc>
      </w:tr>
      <w:tr>
        <w:trPr>
          <w:trHeight w:val="203"/>
        </w:trPr>
        <w:tc>
          <w:tcPr>
            <w:tcW w:w="8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payable</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3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Research and development contract liability</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5,250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(2,027)</w:t>
            </w:r>
          </w:p>
        </w:tc>
      </w:tr>
      <w:tr>
        <w:trPr>
          <w:trHeight w:val="203"/>
        </w:trPr>
        <w:tc>
          <w:tcPr>
            <w:tcW w:w="8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(1,987)</w:t>
            </w:r>
          </w:p>
        </w:tc>
      </w:tr>
      <w:tr>
        <w:trPr>
          <w:trHeight w:val="196"/>
        </w:trPr>
        <w:tc>
          <w:tcPr>
            <w:tcW w:w="83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(21,687)</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(36,329)</w:t>
            </w:r>
          </w:p>
        </w:tc>
      </w:tr>
      <w:tr>
        <w:trPr>
          <w:trHeight w:val="196"/>
        </w:trPr>
        <w:tc>
          <w:tcPr>
            <w:tcW w:w="8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8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3"/>
        </w:trPr>
        <w:tc>
          <w:tcPr>
            <w:tcW w:w="8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Cash received from the sale of property and equipment</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r>
      <w:tr>
        <w:trPr>
          <w:trHeight w:val="203"/>
        </w:trPr>
        <w:tc>
          <w:tcPr>
            <w:tcW w:w="8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(16,288)</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Redemption of marketable securities</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16,500</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83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r>
      <w:tr>
        <w:trPr>
          <w:trHeight w:val="196"/>
        </w:trPr>
        <w:tc>
          <w:tcPr>
            <w:tcW w:w="8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9"/>
        </w:trPr>
        <w:tc>
          <w:tcPr>
            <w:tcW w:w="8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Proceeds from ATM offering, net of sales agent</w:t>
            </w: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r>
      <w:tr>
        <w:trPr>
          <w:trHeight w:val="216"/>
        </w:trPr>
        <w:tc>
          <w:tcPr>
            <w:tcW w:w="8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commission and fees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2,502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3,411</w:t>
            </w:r>
          </w:p>
        </w:tc>
      </w:tr>
      <w:tr>
        <w:trPr>
          <w:trHeight w:val="203"/>
        </w:trPr>
        <w:tc>
          <w:tcPr>
            <w:tcW w:w="8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Proceeds from issuance of common stock, warrants and pre-funded warrants, net of transaction costs</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28,289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10,813</w:t>
            </w:r>
          </w:p>
        </w:tc>
      </w:tr>
      <w:tr>
        <w:trPr>
          <w:trHeight w:val="203"/>
        </w:trPr>
        <w:tc>
          <w:tcPr>
            <w:tcW w:w="8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Repayment of term loans</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(3,999)</w:t>
            </w:r>
          </w:p>
        </w:tc>
      </w:tr>
      <w:tr>
        <w:trPr>
          <w:trHeight w:val="203"/>
        </w:trPr>
        <w:tc>
          <w:tcPr>
            <w:tcW w:w="8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Issuance of common stock upon exercise of warrants and pre-funded warrants, net</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r>
      <w:tr>
        <w:trPr>
          <w:trHeight w:val="196"/>
        </w:trPr>
        <w:tc>
          <w:tcPr>
            <w:tcW w:w="83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26,291</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10,243</w:t>
            </w:r>
          </w:p>
        </w:tc>
      </w:tr>
      <w:tr>
        <w:trPr>
          <w:trHeight w:val="196"/>
        </w:trPr>
        <w:tc>
          <w:tcPr>
            <w:tcW w:w="8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280" w:type="dxa"/>
            <w:vAlign w:val="bottom"/>
          </w:tcPr>
          <w:p>
            <w:pPr>
              <w:spacing w:after="0"/>
              <w:rPr>
                <w:sz w:val="17"/>
                <w:szCs w:val="17"/>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4,679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(26,054)</w:t>
            </w:r>
          </w:p>
        </w:tc>
      </w:tr>
      <w:tr>
        <w:trPr>
          <w:trHeight w:val="203"/>
        </w:trPr>
        <w:tc>
          <w:tcPr>
            <w:tcW w:w="8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22,611</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48,665</w:t>
            </w:r>
          </w:p>
        </w:tc>
      </w:tr>
      <w:tr>
        <w:trPr>
          <w:trHeight w:val="196"/>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27,290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22,611</w:t>
            </w:r>
          </w:p>
        </w:tc>
      </w:tr>
      <w:tr>
        <w:trPr>
          <w:trHeight w:val="20"/>
        </w:trPr>
        <w:tc>
          <w:tcPr>
            <w:tcW w:w="8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203"/>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669</w:t>
            </w:r>
          </w:p>
        </w:tc>
      </w:tr>
      <w:tr>
        <w:trPr>
          <w:trHeight w:val="203"/>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2,226</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-2519680</wp:posOffset>
            </wp:positionV>
            <wp:extent cx="939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-1731010</wp:posOffset>
            </wp:positionV>
            <wp:extent cx="939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-814070</wp:posOffset>
            </wp:positionV>
            <wp:extent cx="939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-548005</wp:posOffset>
            </wp:positionV>
            <wp:extent cx="93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15" w:name="page116"/>
    <w:bookmarkEnd w:id="1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CUE BIOPHARMA,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and 2024</w:t>
      </w:r>
    </w:p>
    <w:p>
      <w:pPr>
        <w:spacing w:after="0" w:line="162"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Cue Biopharma, Inc. (the "Company") is a clinical-stage biopharmaceutical company developing a novel class of injectable therapeutics engineered to selectively engage and modulate disease-specific T cells for the treatment of autoimmune and inflammatory diseases. Unlike conventional approaches that broadly activate the immune system, the Company's Immuno-STAT® platform is designed to selectively modulate disease-relevant T cells, enhancing efficacy while minimizing off-target effects.</w:t>
      </w:r>
    </w:p>
    <w:p>
      <w:pPr>
        <w:spacing w:after="0" w:line="15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satisfaction of liabilities and commitments in the normal course of business. The Company is in the clinical development and preclinical research and development stages and has incurred recurring losses and negative cash flows from operations since inception. As of December 31, 2025, the Company had cash and cash equivalents of $27.1 million. Effective November 6, 2025, the Company entered into a Collaboration and License Agreement with ImmunoScape Pte. Ltd. pursuant to which the Company is entitled to receive upfront payments totaling $15.0 million. Of these upfront payments, the Company received an aggregate of $9.5 million, net of withholding taxes, in the fourth quarter of 2025, and is entitled to receive an additional $5.0 million before the first anniversary of the effective date of the agreement. For further information regarding this transaction, please refer to Note 10, Collaboration Revenue.</w:t>
      </w:r>
    </w:p>
    <w:p>
      <w:pPr>
        <w:spacing w:after="0" w:line="148"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The future viability of the Company is dependent on its ability to raise additional capital to finance its operations and fund research and development costs in order to seek approval for commercialization of its drug product candidates.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continues to explore raising additional capital through a combination of equity offerings, collaborations, and other strategic alliances, and, depending on the availability and level of additional financings, potential cash expenditure reduction, there is no guarantee that the Company will be successful in these mitigation efforts. The Company’s failure to access additional capital as and when needed would have a negative impact on its financial condition and its ability to pursue its business strategies as this capital is necessary for the Company to perform the research and development activities required to develop and commercialize the Company’s drug product candidates in order to generate future revenue streams. The Company’s accumulated deficit, history of losses, negative cash flows from operations, future expected losses and uncertain future capital resources, raise substantial doubt about the Company’s ability to continue as a going concern within one year of the issuance date of these financial statements.</w:t>
      </w:r>
    </w:p>
    <w:p>
      <w:pPr>
        <w:spacing w:after="0" w:line="374"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ind w:right="40" w:firstLine="582"/>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for the years ended December 31, 2025 and 2024, have been prepared in accordance with the rules and regulations of the Securities and Exchange Commission (the “SEC”) and generally accepted accounting principles in the United States (“U.S. GAAP”) for financial information, which prescribes elimination of all significant intercompany accounts and transactions in the accounts of the Company and its wholly owned subsidiary, Cue Biopharma Securities Corp., which was incorporated in the Commonwealth of Massachusetts in December 2018. In the opinion of management, these financial statements reflect all adjustments which are necessary for a fair statement of the Company’s financial position and results of its operations, as of and for the periods presented.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 and Private Placement</w:t>
      </w:r>
    </w:p>
    <w:p>
      <w:pPr>
        <w:spacing w:after="0" w:line="202" w:lineRule="exact"/>
        <w:rPr>
          <w:sz w:val="20"/>
          <w:szCs w:val="20"/>
          <w:color w:val="auto"/>
        </w:rPr>
      </w:pPr>
    </w:p>
    <w:p>
      <w:pPr>
        <w:ind w:firstLine="582"/>
        <w:spacing w:after="0" w:line="255" w:lineRule="auto"/>
        <w:rPr>
          <w:sz w:val="20"/>
          <w:szCs w:val="20"/>
          <w:color w:val="auto"/>
        </w:rPr>
      </w:pPr>
      <w:r>
        <w:rPr>
          <w:rFonts w:ascii="Times New Roman" w:cs="Times New Roman" w:eastAsia="Times New Roman" w:hAnsi="Times New Roman"/>
          <w:sz w:val="18"/>
          <w:szCs w:val="18"/>
          <w:color w:val="auto"/>
        </w:rPr>
        <w:t>In October 2021, the Company entered into an open market sale agreement (the “ATM Sales Agreement”) with Jefferies LLC ("Jefferies"), as agent, to sell shares of the Company’s common stock for aggregate gross proceeds of up to $80 million, from time to time, through an at-the-market equity offering program. The ATM Sales Agreement will terminate upon the earliest of (a) the sale of $80 million of shares of the Company’s common stock pursuant to the ATM Sales Agreement or (b) the termination of the ATM Sales Agreement by the Company or Jefferies. During the year ended December 31, 2025, the Company sold 3,414,197 shares of common stock under the ATM Sales Agreement for proceeds of $2.5 million, net of commissions paid, but excluding transaction expenses. As of December 31, 2025, the Company had sold an aggregate of 12,486,428 shares of common stock under the ATM Sales Agreement for proceeds of $42.9 million, net of commissions paid, but excluding transaction expenses, since its inception.</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0" w:right="399" w:bottom="1440" w:gutter="0" w:footer="0" w:header="0"/>
        </w:sectPr>
      </w:pPr>
    </w:p>
    <w:bookmarkStart w:id="116" w:name="page117"/>
    <w:bookmarkEnd w:id="116"/>
    <w:p>
      <w:pPr>
        <w:ind w:firstLine="749"/>
        <w:spacing w:after="0" w:line="253" w:lineRule="auto"/>
        <w:rPr>
          <w:sz w:val="20"/>
          <w:szCs w:val="20"/>
          <w:color w:val="auto"/>
        </w:rPr>
      </w:pPr>
      <w:r>
        <w:rPr>
          <w:rFonts w:ascii="Times New Roman" w:cs="Times New Roman" w:eastAsia="Times New Roman" w:hAnsi="Times New Roman"/>
          <w:sz w:val="18"/>
          <w:szCs w:val="18"/>
          <w:color w:val="auto"/>
        </w:rPr>
        <w:t>On November 14, 2022, the Company entered into securities purchase agreements with accredited investors pursuant to which, on November 16, 2022, the Company issued and sold to such investors in a private placement an aggregate of 7,656,966 shares of common stock and, in lieu of shares of common stock to certain investors, pre-funded warrants (the "2022 Pre-Funded Warrants") to purchase an aggregate of 1,531,440 shares of common stock, and, in each case, accompanying warrants (the "2022 Common Stock Warrants," and together with the 2022 Pre-Funded Warrants, the “2022 Warrants”) to purchase an aggregate of up to 9,188,406 additional shares of common stock (or 2022 Pre-Funded Warrants in lieu thereof) at a price of $3.265 per share and accompanying 2022 Common Stock Warrant (or $3.2649 per 2022 Pre-Funded Warrant and accompanying 2022 Common Stock Warrant), (such financing, the "PIPE Financing"). The exercise price of the 2022 Common Stock Warrants is $3.93 per share, or if exercised for a 2022 Pre-Funded Warrant in lieu thereof, $3.9299 per 2022 Pre-Funded Warrant. The exercise price of the 2022 Pre-Funded Warrants was $0.0001 per share. The 2022 Common Stock Warrants are exercisable at any time after they were issued and ending on the fifth anniversary of the closing. The 2022 Pre-Funded Warrants were exercisable at any time after they were issued, and all have been exercised as of December 31, 2025. The Company received aggregate gross proceeds from the PIPE Financing of $30 million, before deducting placement agent fees and offering expenses of $2.6 million. Piper Sandler &amp; Co. acted as lead placement agent and Public Ventures LLC acted as co-placement agent for the PIPE Financing. At December 31, 2025, the weighted average exercise price of the 2022 Warrants was $3.93 and the weighted average contractual life was 1.87 years.</w:t>
      </w:r>
    </w:p>
    <w:p>
      <w:pPr>
        <w:spacing w:after="0" w:line="160"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September 26, 2024, the Company entered into an underwriting agreement (the “2024 Underwriting Agreement”) with Oppenheimer &amp; Co. Inc., as representative of the several underwriters named therein (collectively, the “2024 Underwriters”), relating to an underwritten public offering of (i) 11,564,401 shares (the “2024 Shares”) of the Company’s common stock, $0.001 par value per share, and accompanying common stock warrants (the “2024 Common Stock Warrants”) to purchase 2,891,100 shares of the Company’s common stock, and (ii) to certain investors in lieu of common stock, pre-funded warrants (the “2024 Pre-Funded Warrants,” and together with the 2024 Common Stock Warrants, the “2024 Warrants”) to purchase 12,435,599 shares of the Company’s common stock and accompanying 2024 Common Stock Warrants to purchase 3,108,900 shares of the Company’s common stock. All of the 2024 Shares and the 2024 Warrants were sold by the Company. Each 2024 Share was offered and sold together with an accompanying 2024 Common Stock Warrant to purchase one-quarter of one share of the Company’s common stock at a combined offering price of $0.50, and each 2024 Pre-Funded Warrant was offered and sold together with an accompanying 2024 Common Stock Warrant to purchase one-quarter of one share of the Company’s common stock at a combined offering price of $0.499, which is equal to the combined offering price per share of common stock and accompanying 2024 Common Stock Warrant less the $0.001 exercise price of each 2024 Pre-Funded Warrant. The Company received net proceeds from the offering of $10.8 million, after deducting underwriting discounts and commissions and offering expenses of $1.2 million, and excluding any proceeds that may be received from exercise of the 2024 Warrants. At December 31, 2025, the weighted average exercise price of the 2024 Warrants was $0.50 and the weighted average contractual life was 3.75 years.</w:t>
      </w:r>
    </w:p>
    <w:p>
      <w:pPr>
        <w:spacing w:after="0" w:line="157" w:lineRule="exact"/>
        <w:rPr>
          <w:sz w:val="20"/>
          <w:szCs w:val="20"/>
          <w:color w:val="auto"/>
        </w:rPr>
      </w:pPr>
    </w:p>
    <w:p>
      <w:pPr>
        <w:ind w:right="20" w:firstLine="509"/>
        <w:spacing w:after="0" w:line="276" w:lineRule="auto"/>
        <w:rPr>
          <w:sz w:val="20"/>
          <w:szCs w:val="20"/>
          <w:color w:val="auto"/>
        </w:rPr>
      </w:pPr>
      <w:r>
        <w:rPr>
          <w:rFonts w:ascii="Times New Roman" w:cs="Times New Roman" w:eastAsia="Times New Roman" w:hAnsi="Times New Roman"/>
          <w:sz w:val="17"/>
          <w:szCs w:val="17"/>
          <w:color w:val="auto"/>
        </w:rPr>
        <w:t>On April 14, 2025, the Company entered into an underwriting agreement (the “April 2025 Underwriting Agreement”) with Oppenheimer &amp; Co. Inc., as representative of the several underwriters named therein (collectively, the “April 2025 Underwriters”), relating to an underwritten public offering of</w:t>
      </w:r>
    </w:p>
    <w:p>
      <w:pPr>
        <w:spacing w:after="0" w:line="1" w:lineRule="exact"/>
        <w:rPr>
          <w:sz w:val="20"/>
          <w:szCs w:val="20"/>
          <w:color w:val="auto"/>
        </w:rPr>
      </w:pPr>
    </w:p>
    <w:p>
      <w:pPr>
        <w:ind w:right="20" w:firstLine="8"/>
        <w:spacing w:after="0" w:line="251" w:lineRule="auto"/>
        <w:tabs>
          <w:tab w:leader="none" w:pos="2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13,530,780 shares (the “April 2025 Shares”) of the Company’s common stock, $0.001 par value per share, and accompanying common stock warrants (“April 2025 Common Stock Warrants”) to purchase 3,382,695 shares of the Company’s common stock, and (ii) to certain investors in lieu of common stock, pre-funded warrants (the “April 2025 Pre-Funded Warrants,” and together with the April 2025 Common Stock Warrants, the “April 2025 Warrants”) to purchase 11,469,216 shares of the Company’s common stock and accompanying April 2025 Common Stock Warrants to purchase 2,867,304 shares of common stock. All of the April 2025 Shares and April 2025 Warrants were sold by the Company. Each April 2025 Share was offered and sold together with an accompanying April 2025 Common Stock Warrant to purchase one-quarter of one share of the Company’s common stock at a combined offering price of $0.79, and each April 2025 Pre-Funded Warrant was offered and sold together with an accompanying April 2025 Common Stock Warrant to purchase one-quarter of one share of the Company’s common stock at a combined offering price of $0.789, which is equal to the combined offering price per share of common stock and accompanying April 2025 Common Stock Warrant less the $0.001 exercise price of each April 2025 Pre-Funded Warrant. The April 2025 Underwriters purchased (i) each April 2025 Share and accompanying April 2025 Common Stock Warrant from the Company pursuant to the April 2025 Underwriting Agreement at a combined price of $0.7426 and (ii) each April 2025 Pre-Funded Warrant and accompanying April 2025 Common Stock Warrant from the Company pursuant to the April 2025 Underwriting Agreement at a combined price of $0.74166. The Company received net proceeds from the offering of $18.0 million, after deducting underwriting discounts and commissions and offering expenses of $0.5 million, excluding any proceeds that may be received from exercise of the April 2025 Warrants. At December 31, 2025, the weighted average exercise price of the April 2025 Warrants was $0.79 and the weighted average contractual life was 4.29 years.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December 19, 2025, the Company entered into an underwriting agreement (the “December 2025 Underwriting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17" w:name="page118"/>
    <w:bookmarkEnd w:id="117"/>
    <w:p>
      <w:pPr>
        <w:spacing w:after="0" w:line="251" w:lineRule="auto"/>
        <w:rPr>
          <w:sz w:val="20"/>
          <w:szCs w:val="20"/>
          <w:color w:val="auto"/>
        </w:rPr>
      </w:pPr>
      <w:r>
        <w:rPr>
          <w:rFonts w:ascii="Times New Roman" w:cs="Times New Roman" w:eastAsia="Times New Roman" w:hAnsi="Times New Roman"/>
          <w:sz w:val="18"/>
          <w:szCs w:val="18"/>
          <w:color w:val="auto"/>
        </w:rPr>
        <w:t>Agreement”) with H.C. Wainwright &amp; Co., LLC, as representative of the several underwriters named therein (collectively, the “December 2025 Underwriters”), relating to an underwritten public offering of (i) 12,500,000 shares (the “December 2025 Shares”) of the Company's common stock, $0.001 par value per share, and accompanying common stock warrants (the “December 2025 Common Stock Warrants”) to purchase 6,250,000 shares of the Company's common stock, and (ii) to certain investors in lieu of common stock, pre-funded warrants (the “December 2025 Pre-Funded Warrants” and together with the December 2025 Common Stock Warrants, the “December 2025 Warrants”) to purchase 23,214,286 shares of the Company's common stock and accompanying December 2025 Common Stock Warrants to purchase 11,607,143 shares of common stock. All of the December 2025 Shares and December 2025 Warrants were sold by the Company. Each December 2025 Share was offered and sold together with an accompanying December 2025 Common Stock Warrant to purchase one-half of one share of the Company’s common stock at a combined offering price of $0.28, and each December 2025 Pre-Funded Warrant was offered and sold together with an accompanying December 2025 Common Stock Warrant to purchase one-half of one share of the Company’s common stock at a combined offering price of $0.279, which is equal to the combined offering price per share of common stock and accompanying December 2025 Common Stock Warrant less the $0.001 exercise price of each December 2025 Pre-Funded Warrant. The December 2025 Underwriters purchased (i) each December 2025 Share and accompanying December 2025 Common Stock Warrant from the Company pursuant to the December 2025 Underwriting Agreement at a combined price of $0.2632 and (ii) each December 2025 Pre-Funded Warrant and accompanying December 2025 Common Stock Warrant from the Company pursuant to the December 2025 Underwriting Agreement at a combined price of $0.2622. Under the terms of the December 2025 Underwriting Agreement, the Company also granted the December 2025 Underwriters an option, exercisable for a period of</w:t>
      </w:r>
    </w:p>
    <w:p>
      <w:pPr>
        <w:spacing w:after="0" w:line="1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30 days, to purchase up to an additional 5,357,140 shares of common stock and/or common stock warrants to purchase up to an additional 2,678,570 shares of common stock at the applicable public offering price, less underwriting discounts and commissions, which they exercised in full in December 2025. The Company received net proceeds from the offering of $10.2 million, after deducting underwriting discounts and commissions and offering expenses of $0.5 million, excluding any proceeds that may be received from exercise of the December 2025 Common Stock Warrants. At December 31, 2025, the weighted average exercise price of the December 2025 Warrants was $0.30 and the weighted average contractual life was 4.97 years.</w:t>
      </w:r>
    </w:p>
    <w:p>
      <w:pPr>
        <w:spacing w:after="0" w:line="14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2022 Warrants, 2024 Warrants, April 2025 Warrants, and December 2025 Warrants are freestanding financial instruments that are legally detachable and separately exercisable from the shares of common stock with which they were issued, are immediately exercisable, do not embody an obligation for the Company to repurchase its shares, and permit the holders to receive a fixed number of shares of common stock upon exercise. In addition, the 2024 Pre-Funded Warrants, April 2025 Pre-Funded Warrants and December 2025 Pre-Funded Warrants do not provide any guarantee of value or return, and do not have an expiration date. The 2022 Warrants, 2024 Warrants, April 2025 Warrants, and December 2025 Warrants met the permanent equity criteria classification, and have been classified as a component of permanent equity in the Company's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89" w:lineRule="exact"/>
        <w:rPr>
          <w:sz w:val="20"/>
          <w:szCs w:val="20"/>
          <w:color w:val="auto"/>
        </w:rPr>
      </w:pPr>
    </w:p>
    <w:p>
      <w:pPr>
        <w:ind w:right="120" w:firstLine="582"/>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Company and its wholly owned subsidiary, Cue Biopharma Securities Corp. The Company has eliminated all intercompany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ind w:right="320" w:firstLine="582"/>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expenses during the reporting period. Significant estimates include estimates related to collaboration revenue, the accounting for potential liabilities and accrued expenses, the assumptions utilized in valuing stock-based compensation issued for services, and the realization of deferred tax assets, and the useful life with respect to long-lived assets and intangibles. Actual results could differ from those estimates.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Concentrations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its cash balances with financial institutions in federally insured accounts and may periodically have cash balances in excess of insurance limits. The Company maintains its accounts with financial institutions with a high credit rating. The Company has not experienced any losses to date from the Company's deposits with these financial institutions and believes that it is not exposed to any significant credit risk on cash.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at the date of purchase to be cash equivalents. The Company invests available cash in money market funds.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sectPr>
      </w:pPr>
    </w:p>
    <w:bookmarkStart w:id="118" w:name="page119"/>
    <w:bookmarkEnd w:id="118"/>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Marketable securities consist of investments with original maturities greater than ninety days and less than one year from the date of the Company's consolidated balance sheets. The Company classifies all of its investments as available-for-sale securities. Accordingly, these investments are recorded at fair value, which is based on quoted market prices. Unrealized gains and losses are recognized and determined on a specific identification basis and are included in comprehensive gain or loss. Realized gains and losses are determined on a specific identification basis and are included in other income on the consolidated statements of operations. Amortization and accretion of discounts and premiums is recorded in interest income. The Company did not have any marketable securities as of December 31, 2025 and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02" w:lineRule="exact"/>
        <w:rPr>
          <w:sz w:val="20"/>
          <w:szCs w:val="20"/>
          <w:color w:val="auto"/>
        </w:rPr>
      </w:pPr>
    </w:p>
    <w:p>
      <w:pPr>
        <w:ind w:right="80" w:firstLine="582"/>
        <w:spacing w:after="0" w:line="282" w:lineRule="auto"/>
        <w:rPr>
          <w:sz w:val="20"/>
          <w:szCs w:val="20"/>
          <w:color w:val="auto"/>
        </w:rPr>
      </w:pPr>
      <w:r>
        <w:rPr>
          <w:rFonts w:ascii="Times New Roman" w:cs="Times New Roman" w:eastAsia="Times New Roman" w:hAnsi="Times New Roman"/>
          <w:sz w:val="18"/>
          <w:szCs w:val="18"/>
          <w:color w:val="auto"/>
        </w:rPr>
        <w:t>The Company had $0.2 million in restricted cash deposited with a separate commercial bank to collateralize Company credit cards as of December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Accounting</w:t>
      </w:r>
    </w:p>
    <w:p>
      <w:pPr>
        <w:spacing w:after="0" w:line="229" w:lineRule="exact"/>
        <w:rPr>
          <w:sz w:val="20"/>
          <w:szCs w:val="20"/>
          <w:color w:val="auto"/>
        </w:rPr>
      </w:pPr>
    </w:p>
    <w:p>
      <w:pPr>
        <w:jc w:val="both"/>
        <w:ind w:firstLine="584"/>
        <w:spacing w:after="0" w:line="254" w:lineRule="auto"/>
        <w:rPr>
          <w:sz w:val="20"/>
          <w:szCs w:val="20"/>
          <w:color w:val="auto"/>
        </w:rPr>
      </w:pPr>
      <w:r>
        <w:rPr>
          <w:rFonts w:ascii="Times New Roman" w:cs="Times New Roman" w:eastAsia="Times New Roman" w:hAnsi="Times New Roman"/>
          <w:sz w:val="18"/>
          <w:szCs w:val="18"/>
          <w:color w:val="auto"/>
        </w:rPr>
        <w:t xml:space="preserve">The Company applies the equity method of accounting for investments when it has significant influence, but no controlling interest in the investee. Judgment regarding the level of influence over each equity method investment includes key factors such as ownership interest, representation on the board of directors, participation in joint steering committees and material intercompany transactions. Upon investment, the Company evaluates any basis difference between the carrying value and fair value of the Company's proportionate share of the investee's net assets. Basis differences relating to in-process research and development (IPR&amp;D) are expensed when the investee is not considered a business as defined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due to substantially all of the estimated fair value of the gross assets being concentrated in a group of similar IPR&amp;D assets with no alternative future use. For the year ended December 31, 2025, the Company recognized $3.9 million in research and development expenses, for these basis adjustments related to IPR&amp;D and reduced the equity method investment’s carrying value to zero, as the Company's proportionate share of the basis difference exceeded the carrying value. See Note 5 for further discussion.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89" w:lineRule="exact"/>
        <w:rPr>
          <w:sz w:val="20"/>
          <w:szCs w:val="20"/>
          <w:color w:val="auto"/>
        </w:rPr>
      </w:pPr>
    </w:p>
    <w:p>
      <w:pPr>
        <w:ind w:right="20" w:firstLine="582"/>
        <w:spacing w:after="0" w:line="261" w:lineRule="auto"/>
        <w:rPr>
          <w:sz w:val="20"/>
          <w:szCs w:val="20"/>
          <w:color w:val="auto"/>
        </w:rPr>
      </w:pPr>
      <w:r>
        <w:rPr>
          <w:rFonts w:ascii="Times New Roman" w:cs="Times New Roman" w:eastAsia="Times New Roman" w:hAnsi="Times New Roman"/>
          <w:sz w:val="18"/>
          <w:szCs w:val="18"/>
          <w:color w:val="auto"/>
        </w:rPr>
        <w:t>Property and equipment is recorded at cost. Major improvements are capitalized, while maintenance and repairs are charged to expense as incurred. Gains and losses from dispositions of property and equipment are included in income and expense when realized. Amortization of leasehold improvements is provided using the straight-line method over the shorter of the lease term or the useful life of the underlying assets. Depreciation of property and equipment is provided using the straight-line method over the following estimated useful lives: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980" w:type="dxa"/>
            <w:vAlign w:val="bottom"/>
            <w:shd w:val="clear" w:color="auto" w:fill="CFF0FC"/>
          </w:tcPr>
          <w:p>
            <w:pPr>
              <w:ind w:left="228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98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980" w:type="dxa"/>
            <w:vAlign w:val="bottom"/>
            <w:shd w:val="clear" w:color="auto" w:fill="CFF0FC"/>
          </w:tcPr>
          <w:p>
            <w:pPr>
              <w:ind w:left="2280"/>
              <w:spacing w:after="0"/>
              <w:rPr>
                <w:sz w:val="20"/>
                <w:szCs w:val="20"/>
                <w:color w:val="auto"/>
              </w:rPr>
            </w:pPr>
            <w:r>
              <w:rPr>
                <w:rFonts w:ascii="Times New Roman" w:cs="Times New Roman" w:eastAsia="Times New Roman" w:hAnsi="Times New Roman"/>
                <w:sz w:val="18"/>
                <w:szCs w:val="18"/>
                <w:color w:val="auto"/>
              </w:rPr>
              <w:t>3-8 years</w:t>
            </w:r>
          </w:p>
        </w:tc>
      </w:tr>
    </w:tbl>
    <w:p>
      <w:pPr>
        <w:spacing w:after="0" w:line="225" w:lineRule="exact"/>
        <w:rPr>
          <w:sz w:val="20"/>
          <w:szCs w:val="20"/>
          <w:color w:val="auto"/>
        </w:rPr>
      </w:pPr>
    </w:p>
    <w:p>
      <w:pPr>
        <w:jc w:val="both"/>
        <w:ind w:right="60" w:firstLine="582"/>
        <w:spacing w:after="0" w:line="266" w:lineRule="auto"/>
        <w:rPr>
          <w:sz w:val="20"/>
          <w:szCs w:val="20"/>
          <w:color w:val="auto"/>
        </w:rPr>
      </w:pPr>
      <w:r>
        <w:rPr>
          <w:rFonts w:ascii="Times New Roman" w:cs="Times New Roman" w:eastAsia="Times New Roman" w:hAnsi="Times New Roman"/>
          <w:sz w:val="18"/>
          <w:szCs w:val="18"/>
          <w:color w:val="auto"/>
        </w:rPr>
        <w:t>The Company recognizes depreciation and amortization expense in general and administrative expenses and in research and development expenses in the Company’s consolidated statements of operations, depending on how each category of property and equipment is utilized in the Company’s business activities.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189" w:lineRule="exact"/>
        <w:rPr>
          <w:sz w:val="20"/>
          <w:szCs w:val="20"/>
          <w:color w:val="auto"/>
        </w:rPr>
      </w:pPr>
    </w:p>
    <w:p>
      <w:pPr>
        <w:ind w:right="280" w:firstLine="582"/>
        <w:spacing w:after="0" w:line="266" w:lineRule="auto"/>
        <w:rPr>
          <w:sz w:val="20"/>
          <w:szCs w:val="20"/>
          <w:color w:val="auto"/>
        </w:rPr>
      </w:pPr>
      <w:r>
        <w:rPr>
          <w:rFonts w:ascii="Times New Roman" w:cs="Times New Roman" w:eastAsia="Times New Roman" w:hAnsi="Times New Roman"/>
          <w:sz w:val="18"/>
          <w:szCs w:val="18"/>
          <w:color w:val="auto"/>
        </w:rPr>
        <w:t>Trademark consists of the Company’s right, title and interest to the CUE BIOLOGICS Mark, and any derivative mark incorporating CUE, throughout the world, together with all associated goodwill and common law rights appurtenant thereto, including, but not limited to, any right, title and interest in any corporate name, company name, business, name, trade name, dba, domain name, or other source identifier incorporating CUE.</w:t>
      </w:r>
    </w:p>
    <w:p>
      <w:pPr>
        <w:spacing w:after="0" w:line="135" w:lineRule="exact"/>
        <w:rPr>
          <w:sz w:val="20"/>
          <w:szCs w:val="20"/>
          <w:color w:val="auto"/>
        </w:rPr>
      </w:pPr>
    </w:p>
    <w:p>
      <w:pPr>
        <w:jc w:val="both"/>
        <w:ind w:right="180" w:firstLine="582"/>
        <w:spacing w:after="0" w:line="266" w:lineRule="auto"/>
        <w:rPr>
          <w:sz w:val="20"/>
          <w:szCs w:val="20"/>
          <w:color w:val="auto"/>
        </w:rPr>
      </w:pPr>
      <w:r>
        <w:rPr>
          <w:rFonts w:ascii="Times New Roman" w:cs="Times New Roman" w:eastAsia="Times New Roman" w:hAnsi="Times New Roman"/>
          <w:sz w:val="18"/>
          <w:szCs w:val="18"/>
          <w:color w:val="auto"/>
        </w:rPr>
        <w:t>The Company has classified the trademark as a component of other long-term assets, having a useful life of 15 years. The Company evaluates the status of this intangible asset for amortization and impairment at each quarter end and year end reporting date. For both of the years ended December 31, 2025 and 2024, the Company recorded $11,667 of amortization expense related to the trademark.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ind w:right="20" w:firstLine="584"/>
        <w:spacing w:after="0" w:line="312" w:lineRule="auto"/>
        <w:rPr>
          <w:sz w:val="20"/>
          <w:szCs w:val="20"/>
          <w:color w:val="auto"/>
        </w:rPr>
      </w:pPr>
      <w:r>
        <w:rPr>
          <w:rFonts w:ascii="Times New Roman" w:cs="Times New Roman" w:eastAsia="Times New Roman" w:hAnsi="Times New Roman"/>
          <w:sz w:val="17"/>
          <w:szCs w:val="17"/>
          <w:color w:val="auto"/>
        </w:rPr>
        <w:t>Debt issuance costs are deferred and presented as a reduction to long-term debt. Debt issuance costs are amortized using the effective interest rate method over the term of the loan. Amortization of deferred debt issuance costs are included in interest expense in the consolidated statements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20" w:firstLine="584"/>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collaboration revenue under certain of the Company’s license and collaboration agreements that are within the scope of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Company’s contracts with customers typically include promises related to licenses to intellectual property and research and development services. If the license to the Company’s intellectual property is determined to be distinct from the other performance obligations identified in the arrangement, the Company recognizes revenue from non-refundable, up-front fees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Accordingly, the transaction price is generally comprised of a fixed fee due at contract inception and variable consideration in the form of milestone payments due upon the achievement of specified events and tiered royalties earned when customers recognize net sales of licensed products. The Company measures the transaction price based on the amount of consideration to which it expects to be entitled in exchange for transferring the promised goods and/or services to the customer. The Company utilizes the “expected value method” method to estimate the amount of variable consideration, to predict the amount of consideration to which it will be entitled for its one open contract.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At the inception of each arrangement that includes development and regulatory milestone payments, the Company evaluates whether the associated event is considered probable of achievement and estimates the amount to be included in the transaction price using the expected value method.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2" w:lineRule="exact"/>
        <w:rPr>
          <w:sz w:val="20"/>
          <w:szCs w:val="20"/>
          <w:color w:val="auto"/>
        </w:rPr>
      </w:pPr>
    </w:p>
    <w:p>
      <w:pPr>
        <w:ind w:right="40" w:firstLine="58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compensation costs, fees paid to consultants, outside service providers and organizations (including research institutes at universities), facility costs, development and clinical trial costs with respect to the Company’s drug product candidates, and acquired in-process research and development.</w:t>
      </w:r>
    </w:p>
    <w:p>
      <w:pPr>
        <w:spacing w:after="0" w:line="135" w:lineRule="exact"/>
        <w:rPr>
          <w:sz w:val="20"/>
          <w:szCs w:val="20"/>
          <w:color w:val="auto"/>
        </w:rPr>
      </w:pPr>
    </w:p>
    <w:p>
      <w:pPr>
        <w:jc w:val="both"/>
        <w:ind w:right="40" w:firstLine="58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incurred under contracts are expensed ratably over the life of the underlying contracts, unless the achievement of milestones, the completion of contracted work, or other information indicates that a different pattern of performance is more appropriate. Other research and development expenses are charged to operations as incurred.</w:t>
      </w:r>
    </w:p>
    <w:p>
      <w:pPr>
        <w:spacing w:after="0" w:line="135" w:lineRule="exact"/>
        <w:rPr>
          <w:sz w:val="20"/>
          <w:szCs w:val="20"/>
          <w:color w:val="auto"/>
        </w:rPr>
      </w:pPr>
    </w:p>
    <w:p>
      <w:pPr>
        <w:ind w:right="20" w:firstLine="584"/>
        <w:spacing w:after="0" w:line="258" w:lineRule="auto"/>
        <w:rPr>
          <w:sz w:val="20"/>
          <w:szCs w:val="20"/>
          <w:color w:val="auto"/>
        </w:rPr>
      </w:pPr>
      <w:r>
        <w:rPr>
          <w:rFonts w:ascii="Times New Roman" w:cs="Times New Roman" w:eastAsia="Times New Roman" w:hAnsi="Times New Roman"/>
          <w:sz w:val="18"/>
          <w:szCs w:val="18"/>
          <w:color w:val="auto"/>
        </w:rPr>
        <w:t>Nonrefundable advance payments are recognized as an expense as the related services are performed. The Company evaluates whether it expects the services to be rendered at each quarter end and year end reporting date. If the Company does not expect the services to be rendered, the advance payment is charged to expense. Nonrefundable advance payments for research and development services are included in prepaid and other current assets on the Company’s consolidated balance sheets. To the extent that a nonrefundable advance payment is for contracted services to be performed within 12 months from the reporting date, such advance is included in current assets; otherwise, such advance is included in non-current assets.</w:t>
      </w:r>
    </w:p>
    <w:p>
      <w:pPr>
        <w:spacing w:after="0" w:line="156" w:lineRule="exact"/>
        <w:rPr>
          <w:sz w:val="20"/>
          <w:szCs w:val="20"/>
          <w:color w:val="auto"/>
        </w:rPr>
      </w:pPr>
    </w:p>
    <w:p>
      <w:pPr>
        <w:ind w:right="60" w:firstLine="584"/>
        <w:spacing w:after="0" w:line="266" w:lineRule="auto"/>
        <w:rPr>
          <w:sz w:val="20"/>
          <w:szCs w:val="20"/>
          <w:color w:val="auto"/>
        </w:rPr>
      </w:pPr>
      <w:r>
        <w:rPr>
          <w:rFonts w:ascii="Times New Roman" w:cs="Times New Roman" w:eastAsia="Times New Roman" w:hAnsi="Times New Roman"/>
          <w:sz w:val="18"/>
          <w:szCs w:val="18"/>
          <w:color w:val="auto"/>
        </w:rPr>
        <w:t>The Company evaluates the status of its research and development agreements and contracts, and the carrying amount of the related assets and liabilities, at each quarter end and year end reporting date, and adjusts the carrying amounts and their classification on the Company’s consolidated balance sheets as appropriate.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Expenses</w:t>
      </w:r>
    </w:p>
    <w:p>
      <w:pPr>
        <w:spacing w:after="0" w:line="202" w:lineRule="exact"/>
        <w:rPr>
          <w:sz w:val="20"/>
          <w:szCs w:val="20"/>
          <w:color w:val="auto"/>
        </w:rPr>
      </w:pPr>
    </w:p>
    <w:p>
      <w:pPr>
        <w:ind w:firstLine="582"/>
        <w:spacing w:after="0" w:line="261" w:lineRule="auto"/>
        <w:rPr>
          <w:sz w:val="20"/>
          <w:szCs w:val="20"/>
          <w:color w:val="auto"/>
        </w:rPr>
      </w:pPr>
      <w:r>
        <w:rPr>
          <w:rFonts w:ascii="Times New Roman" w:cs="Times New Roman" w:eastAsia="Times New Roman" w:hAnsi="Times New Roman"/>
          <w:sz w:val="18"/>
          <w:szCs w:val="18"/>
          <w:color w:val="auto"/>
        </w:rPr>
        <w:t>The Company is the exclusive worldwide licensee of, and has patent applications pending for, numerous domestic and foreign patents. Due to the significant uncertainty associated with the successful development of one or more commercially viable drug product candidates based on the Company’s research efforts and any related patent applications, all patent costs, including patent-related legal fees, filing fees and other costs are charged to general and administrative expense as incurred. For the years ended December 31, 2025 and 2024, patent expenses were $1.7 million and $2.2 million,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Fees and Costs</w:t>
      </w:r>
    </w:p>
    <w:p>
      <w:pPr>
        <w:spacing w:after="0" w:line="202" w:lineRule="exact"/>
        <w:rPr>
          <w:sz w:val="20"/>
          <w:szCs w:val="20"/>
          <w:color w:val="auto"/>
        </w:rPr>
      </w:pPr>
    </w:p>
    <w:p>
      <w:pPr>
        <w:ind w:right="120" w:firstLine="582"/>
        <w:spacing w:after="0" w:line="266" w:lineRule="auto"/>
        <w:rPr>
          <w:sz w:val="20"/>
          <w:szCs w:val="20"/>
          <w:color w:val="auto"/>
        </w:rPr>
      </w:pPr>
      <w:r>
        <w:rPr>
          <w:rFonts w:ascii="Times New Roman" w:cs="Times New Roman" w:eastAsia="Times New Roman" w:hAnsi="Times New Roman"/>
          <w:sz w:val="18"/>
          <w:szCs w:val="18"/>
          <w:color w:val="auto"/>
        </w:rPr>
        <w:t>Licensing fees and costs consist primarily of costs relating to the acquisition of the Company’s license agreement with the Albert Einstein College of Medicine, including related royalties, maintenance fees, milestone payments and product development costs. Licensing fees and costs are charged to research and development expense as incurred.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89" w:lineRule="exact"/>
        <w:rPr>
          <w:sz w:val="20"/>
          <w:szCs w:val="20"/>
          <w:color w:val="auto"/>
        </w:rPr>
      </w:pPr>
    </w:p>
    <w:p>
      <w:pPr>
        <w:ind w:firstLine="582"/>
        <w:spacing w:after="0" w:line="254" w:lineRule="auto"/>
        <w:rPr>
          <w:sz w:val="20"/>
          <w:szCs w:val="20"/>
          <w:color w:val="auto"/>
        </w:rPr>
      </w:pPr>
      <w:r>
        <w:rPr>
          <w:rFonts w:ascii="Times New Roman" w:cs="Times New Roman" w:eastAsia="Times New Roman" w:hAnsi="Times New Roman"/>
          <w:sz w:val="18"/>
          <w:szCs w:val="18"/>
          <w:color w:val="auto"/>
        </w:rPr>
        <w:t>The Company reviews long-lived assets, consisting of property and equipment, for impairment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assets. Assets to be disposed of are separately presented in the Company’s consolidated balance sheets and reported at the lower of the carrying amount or fair value less costs to sell and are no longer depreciated. The Company has not historically recorded any impairment to its long-lived assets. In the future, if events or market conditions affect the estimated fair value to the extent that a long-lived asset is impaired, the Company will adjust the carrying value of these long-lived assets in the period in which the impairment occurs.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7" w:lineRule="exact"/>
        <w:rPr>
          <w:sz w:val="20"/>
          <w:szCs w:val="20"/>
          <w:color w:val="auto"/>
        </w:rPr>
      </w:pPr>
    </w:p>
    <w:p>
      <w:pPr>
        <w:ind w:right="280" w:firstLine="749"/>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requires a lessee to record a right-of-use asset and a corresponding lease liability for most lease arrangements on the Company’s consolidated balance sheets. Under the standard, disclosure of key information about leasing arrangements to assist users of the financial statements with assessing the amount, timing and uncertainty of cash flows arising from leases are required.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Company periodically issues stock-based awards to officers, directors, employees, scientific and clinical advisory board members and consultants for services rendered. Such awards vest and expire according to terms established at the issuance date.</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Stock-based compensation to officers, directors, employees, scientific and clinical advisory board members and consultants, including grants of employee stock options, is recognized in the financial statements based on their grant date fair values. Stock option grants, which are generally time-vested, are measured at the grant date fair value and charged to operations on a straight-line basis over the service period, which generally approximates the vesting term. The Company also grants performance-based awards periodically to officers of the Company. The Company recognizes compensation costs related to performance awards over the requisite service period if and when the Company concludes that it is probable that the performance condition will be achieved.</w:t>
      </w:r>
    </w:p>
    <w:p>
      <w:pPr>
        <w:spacing w:after="0" w:line="18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fair value of stock options and restricted stock units is determined utilizing the Black-Scholes valuation model. This valuation model takes into account the exercise price of the award, as well as a variety of significant assumptions. The assumptions used to estimate the fair value of stock options include the expected term, the expected volatility of the Company's stock over the expected term, the risk-free interest rate over the expected term, and the Company's expected annual dividend yield. The risk-free interest rate is based on the U.S. Treasury yield curve in effect at the time of grant. The expected dividend yield is based on the current yield at the grant date; the Company has never declared or paid dividends and has no plans to do so for the foreseeable future. As permitted by Staff Accounting Bulletin No. 107, due to the Company’s limited trading history and option activity, management utilizes the simplified method to estimate the expected term of options at the date of grant. The exercise price is determined based on the fair value of the Company's common stock at the date of grant. The Company accounts for forfeitures as they occur.</w:t>
      </w:r>
    </w:p>
    <w:p>
      <w:pPr>
        <w:spacing w:after="0" w:line="192" w:lineRule="exact"/>
        <w:rPr>
          <w:sz w:val="20"/>
          <w:szCs w:val="20"/>
          <w:color w:val="auto"/>
        </w:rPr>
      </w:pPr>
    </w:p>
    <w:p>
      <w:pPr>
        <w:ind w:right="520" w:firstLine="509"/>
        <w:spacing w:after="0" w:line="312" w:lineRule="auto"/>
        <w:rPr>
          <w:sz w:val="20"/>
          <w:szCs w:val="20"/>
          <w:color w:val="auto"/>
        </w:rPr>
      </w:pPr>
      <w:r>
        <w:rPr>
          <w:rFonts w:ascii="Times New Roman" w:cs="Times New Roman" w:eastAsia="Times New Roman" w:hAnsi="Times New Roman"/>
          <w:sz w:val="17"/>
          <w:szCs w:val="17"/>
          <w:color w:val="auto"/>
        </w:rPr>
        <w:t>The Company recognizes the fair value of stock-based compensation in general and administrative expenses and in research and development expenses in the Company’s consolidated statements of operations, depending on the type of services provided by the recipient of the equity award.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under an asset and liability approach for financial accounting and reporting for income taxes. Accordingly, the Company recognizes deferred tax assets and liabilities for the expected impact of differences between the financial statements and the tax basis of assets and liabilities.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21" w:name="page122"/>
    <w:bookmarkEnd w:id="121"/>
    <w:p>
      <w:pPr>
        <w:spacing w:after="0" w:line="31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uncertainties in income tax law under a comprehensive model for the financial statement recognition, measurement, presentation and disclosure of uncertain tax positions taken or expected to be taken in income tax returns as prescribed by U.S. GAAP. The tax effects of a position are recognized only if it is “more-likely-than-not” to be sustained by the taxing authority as of the reporting date. If the tax position is not considered “more-likely-than-not” to be sustained, then no benefits of the position are recognized.</w:t>
      </w:r>
    </w:p>
    <w:p>
      <w:pPr>
        <w:spacing w:after="0" w:line="13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records a valuation allowance to reduce its deferred tax assets to the amount that is more likely than not to be realized. In the event the Company was to determine that it would be able to realize its deferred tax assets in the future in excess of its recorded amount, an adjustment to the deferred tax assets would be credited to operations in the period such determination was made. Likewise, should the Company determine that it would not be able to realize all or part of its deferred tax assets in the future, an adjustment to the deferred tax assets would be charged to operations in the period such determination was made.</w:t>
      </w:r>
    </w:p>
    <w:p>
      <w:pPr>
        <w:spacing w:after="0" w:line="143"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is subject to U.S. federal and Massachusetts state income taxes. As the Company’s net operating losses have yet to be utilized, all previous tax years remain open to examination by federal and state taxing authorities in which the Company currently operates.</w:t>
      </w:r>
    </w:p>
    <w:p>
      <w:pPr>
        <w:spacing w:after="0" w:line="13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there is a provision for income taxes of $0.5 million related to foreign withholding taxes. For the year ended December 31, 2024, there is no provision for income taxes in the U.S. because the Company has historically incurred net operating losses and maintains a full valuation allowance against its net deferred assets. The reported amount of income tax expense for the years differs from the amount that would result from applying domestic federal statutory tax rates to pretax losses primarily because of changes in valuation allowance.</w:t>
      </w:r>
    </w:p>
    <w:p>
      <w:pPr>
        <w:spacing w:after="0" w:line="139"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accrued relative to unrecognized tax benefits in interest expense and penalties in operating expense. During the years ended December 31, 2025 and 2024, the Company did not recognize any income tax related interest and penalties. The Company did not have any accruals for income tax related interest and penalties at December 31, 2025 and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0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 reviews each legal entity in which it has a financial interest to determine whether or not the entity is a variable interest entity (“VIE”). A VIE is an entity in which equity investors lack the characteristics of a controlling financial interest or do not have sufficient equity at risk for the entity to finance its activities without additional subordinated financial support. VIEs are consolidated by the primary beneficiary, which is the party (a) who has the power to direct the activities of a VIE that most significantly impact the entity’s economic performance and (b) who has an obligation to absorb losses of the entity or a right to receive benefits from the entity that could potentially be significant to the entity. If the entity is a VIE, the Company assesses whether or not it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that it is the primary beneficiary of a VIE, it consolidates the financial statements of the VIE into its consolidated financial statements at the time that determination is made.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right="140" w:firstLine="509"/>
        <w:spacing w:after="0" w:line="277" w:lineRule="auto"/>
        <w:rPr>
          <w:sz w:val="20"/>
          <w:szCs w:val="20"/>
          <w:color w:val="auto"/>
        </w:rPr>
      </w:pPr>
      <w:r>
        <w:rPr>
          <w:rFonts w:ascii="Times New Roman" w:cs="Times New Roman" w:eastAsia="Times New Roman" w:hAnsi="Times New Roman"/>
          <w:sz w:val="17"/>
          <w:szCs w:val="17"/>
          <w:color w:val="auto"/>
        </w:rPr>
        <w:t>Components of comprehensive income or loss, including net income or loss, are reported in the financial statements in the period in which they are recognized. Other comprehensive income or loss is defined as the change in equity during a period from transactions and other events and circumstances from non-owner sources. Net income (loss) and other comprehensive income (loss) are reported net of any related tax effect to arrive at comprehensive income (loss). Comprehensive income (loss) includes net income (loss) as well as changes in stockholders’ equity that result from transactions and economic events other than those with stockholders. There were no elements of other comprehensive income (loss) in the periods presented.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02" w:lineRule="exact"/>
        <w:rPr>
          <w:sz w:val="20"/>
          <w:szCs w:val="20"/>
          <w:color w:val="auto"/>
        </w:rPr>
      </w:pPr>
    </w:p>
    <w:p>
      <w:pPr>
        <w:ind w:right="40" w:firstLine="582"/>
        <w:spacing w:after="0" w:line="261" w:lineRule="auto"/>
        <w:rPr>
          <w:sz w:val="20"/>
          <w:szCs w:val="20"/>
          <w:color w:val="auto"/>
        </w:rPr>
      </w:pPr>
      <w:r>
        <w:rPr>
          <w:rFonts w:ascii="Times New Roman" w:cs="Times New Roman" w:eastAsia="Times New Roman" w:hAnsi="Times New Roman"/>
          <w:sz w:val="18"/>
          <w:szCs w:val="18"/>
          <w:color w:val="auto"/>
        </w:rPr>
        <w:t>The Company’s computation of earnings (loss) per share (“EPS”) for the respective periods includes basic and diluted EPS. Basic EPS is measured as the income (loss) attributable to common stockholders divided by the weighted average number of common shares outstanding for the period. Diluted EPS is similar to basic EPS but presents the dilutive effect on a per share basis of potential common shares that would result from the exercise of outstanding stock options and warrants as if they had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ind w:right="80"/>
        <w:spacing w:after="0" w:line="266" w:lineRule="auto"/>
        <w:rPr>
          <w:sz w:val="20"/>
          <w:szCs w:val="20"/>
          <w:color w:val="auto"/>
        </w:rPr>
      </w:pPr>
      <w:r>
        <w:rPr>
          <w:rFonts w:ascii="Times New Roman" w:cs="Times New Roman" w:eastAsia="Times New Roman" w:hAnsi="Times New Roman"/>
          <w:sz w:val="18"/>
          <w:szCs w:val="18"/>
          <w:color w:val="auto"/>
        </w:rPr>
        <w:t>been exercised at the beginning of the periods presented, or issuance date, if later. Potential common shares that have an anti-dilutive effect (i.e., those that increase income per share or decrease loss per share) are excluded from the calculation of diluted EPS. Basic and diluted loss per common share is the same for all periods presented because all outstanding stock options and warrants are anti-dilutive.</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computes EPS in accordance with the Financial Accounting Standards Board (“FASB”) Accounting Standards Codification (“ASC”) 260, Earnings per Share ("ASC 260"). Per ASC 260-10-45-13, shares issuable for little to no consideration should be included in the number of outstanding shares used for basic EPS. The FASB proposed that warrants or options exercisable for little to no cost (sometimes referred to as “penny warrants”) be included in the denominator of basic EPS (and therefore diluted EPS) once there were no further vesting conditions or contingencies associated with them. The Company included 47,119,101 and 12,435,599 pre-funded warrants in the denominator of basic EPS at December 31, 2025 and 2024, respectively.</w:t>
      </w:r>
    </w:p>
    <w:p>
      <w:pPr>
        <w:spacing w:after="0" w:line="156" w:lineRule="exact"/>
        <w:rPr>
          <w:sz w:val="20"/>
          <w:szCs w:val="20"/>
          <w:color w:val="auto"/>
        </w:rPr>
      </w:pPr>
    </w:p>
    <w:p>
      <w:pPr>
        <w:ind w:right="180" w:firstLine="582"/>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Company excluded the securities summarized below, which entitled the holders thereof to acquire shares of common stock, from its calculation of EPS, as their effect would have been anti-dilutive.</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194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120" w:type="dxa"/>
            <w:vAlign w:val="bottom"/>
          </w:tcPr>
          <w:p>
            <w:pPr>
              <w:spacing w:after="0"/>
              <w:rPr>
                <w:sz w:val="18"/>
                <w:szCs w:val="18"/>
                <w:color w:val="auto"/>
              </w:rPr>
            </w:pPr>
          </w:p>
        </w:tc>
        <w:tc>
          <w:tcPr>
            <w:tcW w:w="13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3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8"/>
              </w:rPr>
              <w:t>41,937,618</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15,151,906</w:t>
            </w:r>
          </w:p>
        </w:tc>
        <w:tc>
          <w:tcPr>
            <w:tcW w:w="8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3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8"/>
              </w:rPr>
              <w:t>12,752,467</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8"/>
              </w:rPr>
              <w:t>10,836,838</w:t>
            </w:r>
          </w:p>
        </w:tc>
        <w:tc>
          <w:tcPr>
            <w:tcW w:w="80" w:type="dxa"/>
            <w:vAlign w:val="bottom"/>
          </w:tcPr>
          <w:p>
            <w:pPr>
              <w:spacing w:after="0"/>
              <w:rPr>
                <w:sz w:val="18"/>
                <w:szCs w:val="18"/>
                <w:color w:val="auto"/>
              </w:rPr>
            </w:pPr>
          </w:p>
        </w:tc>
      </w:tr>
      <w:tr>
        <w:trPr>
          <w:trHeight w:val="249"/>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8"/>
              </w:rPr>
              <w:t>54,690,085</w:t>
            </w:r>
          </w:p>
        </w:tc>
        <w:tc>
          <w:tcPr>
            <w:tcW w:w="2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25,988,744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-25400</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ind w:right="340" w:firstLine="582"/>
        <w:spacing w:after="0" w:line="266" w:lineRule="auto"/>
        <w:rPr>
          <w:sz w:val="20"/>
          <w:szCs w:val="20"/>
          <w:color w:val="auto"/>
        </w:rPr>
      </w:pPr>
      <w:r>
        <w:rPr>
          <w:rFonts w:ascii="Times New Roman" w:cs="Times New Roman" w:eastAsia="Times New Roman" w:hAnsi="Times New Roman"/>
          <w:sz w:val="18"/>
          <w:szCs w:val="18"/>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135" w:lineRule="exact"/>
        <w:rPr>
          <w:sz w:val="20"/>
          <w:szCs w:val="20"/>
          <w:color w:val="auto"/>
        </w:rPr>
      </w:pPr>
    </w:p>
    <w:p>
      <w:pPr>
        <w:ind w:firstLine="582"/>
        <w:spacing w:after="0" w:line="282" w:lineRule="auto"/>
        <w:rPr>
          <w:sz w:val="20"/>
          <w:szCs w:val="20"/>
          <w:color w:val="auto"/>
        </w:rPr>
      </w:pPr>
      <w:r>
        <w:rPr>
          <w:rFonts w:ascii="Times New Roman" w:cs="Times New Roman" w:eastAsia="Times New Roman" w:hAnsi="Times New Roman"/>
          <w:sz w:val="18"/>
          <w:szCs w:val="18"/>
          <w:color w:val="auto"/>
        </w:rPr>
        <w:t>Level 1. Observable inputs such as quoted prices in active markets for an identical asset or liability that the Company has the ability to access as of the measurement date. Financial assets and liabilities utilizing Level 1 inputs include active exchange-traded securities and exchange-based derivatives.</w:t>
      </w:r>
    </w:p>
    <w:p>
      <w:pPr>
        <w:spacing w:after="0" w:line="135" w:lineRule="exact"/>
        <w:rPr>
          <w:sz w:val="20"/>
          <w:szCs w:val="20"/>
          <w:color w:val="auto"/>
        </w:rPr>
      </w:pPr>
    </w:p>
    <w:p>
      <w:pPr>
        <w:ind w:right="140" w:firstLine="582"/>
        <w:spacing w:after="0" w:line="266" w:lineRule="auto"/>
        <w:rPr>
          <w:sz w:val="20"/>
          <w:szCs w:val="20"/>
          <w:color w:val="auto"/>
        </w:rPr>
      </w:pPr>
      <w:r>
        <w:rPr>
          <w:rFonts w:ascii="Times New Roman" w:cs="Times New Roman" w:eastAsia="Times New Roman" w:hAnsi="Times New Roman"/>
          <w:sz w:val="18"/>
          <w:szCs w:val="18"/>
          <w:color w:val="auto"/>
        </w:rPr>
        <w:t>Level 2. Inputs, other than quoted prices included within Level 1, which are directly observable for the asset or liability or indirectly observable through corroboration with observable market data. Financial assets and liabilities utilizing Level 2 inputs include fixed income securities, non-exchange-based derivatives, mutual funds, and fair-value hedges.</w:t>
      </w:r>
    </w:p>
    <w:p>
      <w:pPr>
        <w:spacing w:after="0" w:line="135" w:lineRule="exact"/>
        <w:rPr>
          <w:sz w:val="20"/>
          <w:szCs w:val="20"/>
          <w:color w:val="auto"/>
        </w:rPr>
      </w:pPr>
    </w:p>
    <w:p>
      <w:pPr>
        <w:ind w:right="280" w:firstLine="582"/>
        <w:spacing w:after="0" w:line="266" w:lineRule="auto"/>
        <w:rPr>
          <w:sz w:val="20"/>
          <w:szCs w:val="20"/>
          <w:color w:val="auto"/>
        </w:rPr>
      </w:pPr>
      <w:r>
        <w:rPr>
          <w:rFonts w:ascii="Times New Roman" w:cs="Times New Roman" w:eastAsia="Times New Roman" w:hAnsi="Times New Roman"/>
          <w:sz w:val="18"/>
          <w:szCs w:val="18"/>
          <w:color w:val="auto"/>
        </w:rPr>
        <w:t>Level 3. Unobservable inputs in which there is little or no market data for the asset or liability which requires the reporting entity to develop its own assumptions. Financial assets and liabilities utilizing Level 3 inputs include infrequently traded non-exchange-based derivatives and commingled investment funds and are measured using present value pricing models.</w:t>
      </w:r>
    </w:p>
    <w:p>
      <w:pPr>
        <w:spacing w:after="0" w:line="135" w:lineRule="exact"/>
        <w:rPr>
          <w:sz w:val="20"/>
          <w:szCs w:val="20"/>
          <w:color w:val="auto"/>
        </w:rPr>
      </w:pPr>
    </w:p>
    <w:p>
      <w:pPr>
        <w:jc w:val="both"/>
        <w:ind w:right="180" w:firstLine="582"/>
        <w:spacing w:after="0" w:line="266" w:lineRule="auto"/>
        <w:rPr>
          <w:sz w:val="20"/>
          <w:szCs w:val="20"/>
          <w:color w:val="auto"/>
        </w:rPr>
      </w:pPr>
      <w:r>
        <w:rPr>
          <w:rFonts w:ascii="Times New Roman" w:cs="Times New Roman" w:eastAsia="Times New Roman" w:hAnsi="Times New Roman"/>
          <w:sz w:val="18"/>
          <w:szCs w:val="18"/>
          <w:color w:val="auto"/>
        </w:rPr>
        <w:t>The Company determines the level in the fair value hierarchy within which each fair value measurement falls in its entirety, based on the lowest level input that is significant to the fair value measurement in its entirety. In determining the appropriate levels, the Company performs an analysis of the assets and liabilities at each reporting period end.</w:t>
      </w:r>
    </w:p>
    <w:p>
      <w:pPr>
        <w:spacing w:after="0" w:line="149" w:lineRule="exact"/>
        <w:rPr>
          <w:sz w:val="20"/>
          <w:szCs w:val="20"/>
          <w:color w:val="auto"/>
        </w:rPr>
      </w:pPr>
    </w:p>
    <w:p>
      <w:pPr>
        <w:jc w:val="both"/>
        <w:ind w:right="120" w:firstLine="582"/>
        <w:spacing w:after="0" w:line="266" w:lineRule="auto"/>
        <w:rPr>
          <w:sz w:val="20"/>
          <w:szCs w:val="20"/>
          <w:color w:val="auto"/>
        </w:rPr>
      </w:pPr>
      <w:r>
        <w:rPr>
          <w:rFonts w:ascii="Times New Roman" w:cs="Times New Roman" w:eastAsia="Times New Roman" w:hAnsi="Times New Roman"/>
          <w:sz w:val="18"/>
          <w:szCs w:val="18"/>
          <w:color w:val="auto"/>
        </w:rPr>
        <w:t>The Company had $26.6 million in cash equivalents that were measured and recorded at fair value on the Company’s consolidated balance sheets at December 31, 2025. The Company had $21.8 million in cash equivalents that were measured and recorded at fair value on the Company’s consolidated balance sheets at December 31, 2024.</w:t>
      </w:r>
    </w:p>
    <w:p>
      <w:pPr>
        <w:spacing w:after="0" w:line="135" w:lineRule="exact"/>
        <w:rPr>
          <w:sz w:val="20"/>
          <w:szCs w:val="20"/>
          <w:color w:val="auto"/>
        </w:rPr>
      </w:pPr>
    </w:p>
    <w:p>
      <w:pPr>
        <w:ind w:right="100" w:firstLine="582"/>
        <w:spacing w:after="0" w:line="282" w:lineRule="auto"/>
        <w:rPr>
          <w:sz w:val="20"/>
          <w:szCs w:val="20"/>
          <w:color w:val="auto"/>
        </w:rPr>
      </w:pPr>
      <w:r>
        <w:rPr>
          <w:rFonts w:ascii="Times New Roman" w:cs="Times New Roman" w:eastAsia="Times New Roman" w:hAnsi="Times New Roman"/>
          <w:sz w:val="18"/>
          <w:szCs w:val="18"/>
          <w:color w:val="auto"/>
        </w:rPr>
        <w:t>The carrying value of financial instruments (consisting of cash, a certificate of deposit, debt, accounts payable, accrued compensation and accrued expenses) is considered to be representative of their respective fair values due to the short-term nature of those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Adopted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 Segment Reporting</w:t>
      </w:r>
    </w:p>
    <w:p>
      <w:pPr>
        <w:spacing w:after="0" w:line="214" w:lineRule="exact"/>
        <w:rPr>
          <w:sz w:val="20"/>
          <w:szCs w:val="20"/>
          <w:color w:val="auto"/>
        </w:rPr>
      </w:pPr>
    </w:p>
    <w:p>
      <w:pPr>
        <w:ind w:right="80" w:firstLine="681"/>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requires disclosure of incremental segment information on an annual and interim basis. The amendments also require companies with a single reportable segment to provide all disclosures required by these amendments and all existing segment disclosures in ASC 280, Segment Reporting. The amendments are effective for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123" w:name="page124"/>
    <w:bookmarkEnd w:id="123"/>
    <w:p>
      <w:pPr>
        <w:ind w:right="280"/>
        <w:spacing w:after="0" w:line="282" w:lineRule="auto"/>
        <w:rPr>
          <w:sz w:val="20"/>
          <w:szCs w:val="20"/>
          <w:color w:val="auto"/>
        </w:rPr>
      </w:pPr>
      <w:r>
        <w:rPr>
          <w:rFonts w:ascii="Times New Roman" w:cs="Times New Roman" w:eastAsia="Times New Roman" w:hAnsi="Times New Roman"/>
          <w:sz w:val="18"/>
          <w:szCs w:val="18"/>
          <w:color w:val="auto"/>
        </w:rPr>
        <w:t>fiscal years beginning after December 15, 2023, and interim periods beginning after December 15, 2024. The Company adopted ASU 2023-07 effective December 31, 2024.</w:t>
      </w:r>
    </w:p>
    <w:p>
      <w:pPr>
        <w:spacing w:after="0" w:line="135" w:lineRule="exact"/>
        <w:rPr>
          <w:sz w:val="20"/>
          <w:szCs w:val="20"/>
          <w:color w:val="auto"/>
        </w:rPr>
      </w:pPr>
    </w:p>
    <w:p>
      <w:pPr>
        <w:ind w:right="180" w:firstLine="582"/>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Company's CODM is the chief executive officer.</w:t>
      </w:r>
    </w:p>
    <w:p>
      <w:pPr>
        <w:spacing w:after="0" w:line="135" w:lineRule="exact"/>
        <w:rPr>
          <w:sz w:val="20"/>
          <w:szCs w:val="20"/>
          <w:color w:val="auto"/>
        </w:rPr>
      </w:pPr>
    </w:p>
    <w:p>
      <w:pPr>
        <w:ind w:firstLine="582"/>
        <w:spacing w:after="0" w:line="253" w:lineRule="auto"/>
        <w:rPr>
          <w:sz w:val="20"/>
          <w:szCs w:val="20"/>
          <w:color w:val="auto"/>
        </w:rPr>
      </w:pPr>
      <w:r>
        <w:rPr>
          <w:rFonts w:ascii="Times New Roman" w:cs="Times New Roman" w:eastAsia="Times New Roman" w:hAnsi="Times New Roman"/>
          <w:sz w:val="18"/>
          <w:szCs w:val="18"/>
          <w:color w:val="auto"/>
        </w:rPr>
        <w:t>The Company is in the development stage, has not yet earned revenue from product sales, and has incurred recurring losses and negative cash flows from operations since inception. The Company operates as a single reporting segment, focused on developing a novel class of therapeutic biologics to selectively modulate disease-specific T cells directly within the patient’s body. The CODM manages and allocates resources to the operations of the Company on a total company basis and therefore does not measure separate segment profit or loss. Managing and allocating resources on a total company basis enables the CODM to assess the overall level of resources available and how to best deploy these resources across functions and research and development programs that are in line with the Company’s long-term strategic corporate goals. Consistent with this decision-making process, the CODM uses consolidated financial information for purposes of evaluating performance, forecasting future period financial results, allocating resources and setting incentive targets. Operating expenses are used to monitor budget versus actual results. All the Company’s long-lived assets are held in the United States and all the Company’s revenues since inception have been earned from collaboration agreements as none of the Company's drug product candidates have yet been approved for commercial sale. The resources utilized for any specific purpose may vary significantly and will depend on a number of factors, including, but not limited to, the Company’s research and development activities and programs, clinical testing, regulatory approval, market conditions, and changes in or revisions to the Company’s business strategy and technology development plans.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 Income Taxes</w:t>
      </w:r>
    </w:p>
    <w:p>
      <w:pPr>
        <w:spacing w:after="0" w:line="200" w:lineRule="exact"/>
        <w:rPr>
          <w:sz w:val="20"/>
          <w:szCs w:val="20"/>
          <w:color w:val="auto"/>
        </w:rPr>
      </w:pPr>
    </w:p>
    <w:p>
      <w:pPr>
        <w:ind w:right="20" w:firstLine="584"/>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For entities other than PBEs, the requirements will be effective for annual periods beginning after December 15, 2025.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As of December 31, 2025, the Company adopted this new ASU and it only impacts the Company's income tax disclosures with no impact to its operations, cash flows, or financial condition.</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2024-03 - Disaggregation of Income Statement Expense</w:t>
      </w:r>
    </w:p>
    <w:p>
      <w:pPr>
        <w:spacing w:after="0" w:line="198" w:lineRule="exact"/>
        <w:rPr>
          <w:sz w:val="20"/>
          <w:szCs w:val="20"/>
          <w:color w:val="auto"/>
        </w:rPr>
      </w:pPr>
    </w:p>
    <w:p>
      <w:pPr>
        <w:ind w:right="120" w:firstLine="582"/>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w:t>
      </w:r>
      <w:r>
        <w:rPr>
          <w:rFonts w:ascii="Times New Roman" w:cs="Times New Roman" w:eastAsia="Times New Roman" w:hAnsi="Times New Roman"/>
          <w:sz w:val="18"/>
          <w:szCs w:val="18"/>
          <w:color w:val="auto"/>
        </w:rPr>
        <w:t xml:space="preserve"> ("ASU 2024-03")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guidance in ASU 2024-03 requires additional disclosures about specific types of expenses included in the expense captions presented on the face of income statements as well as disclosures about selling expenses. The standard applies prospectively with the option to apply the standard retrospectively and is effective for calendar year-end public business entities in the 2027 annual period and in 2028 for interim periods with early adoption permitted. The Company is currently evaluating the impact that the adoption of ASU 2024-03 may have on its consolidated financial statements.</w:t>
      </w:r>
    </w:p>
    <w:p>
      <w:pPr>
        <w:spacing w:after="0" w:line="145" w:lineRule="exact"/>
        <w:rPr>
          <w:sz w:val="20"/>
          <w:szCs w:val="20"/>
          <w:color w:val="auto"/>
        </w:rPr>
      </w:pPr>
    </w:p>
    <w:p>
      <w:pPr>
        <w:ind w:right="560" w:firstLine="582"/>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authoritative guidance, if currently adopted, would have a material impact on the Company’s financial statement presentation or disclosures.</w:t>
      </w:r>
    </w:p>
    <w:p>
      <w:pPr>
        <w:spacing w:after="0" w:line="158"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189" w:lineRule="exact"/>
        <w:rPr>
          <w:sz w:val="20"/>
          <w:szCs w:val="20"/>
          <w:color w:val="auto"/>
        </w:rPr>
      </w:pPr>
    </w:p>
    <w:p>
      <w:pPr>
        <w:ind w:right="20" w:firstLine="582"/>
        <w:spacing w:after="0" w:line="266" w:lineRule="auto"/>
        <w:rPr>
          <w:sz w:val="20"/>
          <w:szCs w:val="20"/>
          <w:color w:val="auto"/>
        </w:rPr>
      </w:pPr>
      <w:r>
        <w:rPr>
          <w:rFonts w:ascii="Times New Roman" w:cs="Times New Roman" w:eastAsia="Times New Roman" w:hAnsi="Times New Roman"/>
          <w:sz w:val="18"/>
          <w:szCs w:val="18"/>
          <w:color w:val="auto"/>
        </w:rPr>
        <w:t>The Company accounts for its financial assets and liabilities using fair value measurements. The authoritative accounting guidance defines fair value, establishes a framework for measuring fair value under U.S. GAAP and enhances disclosures about fair value measurements. Fair value is defined as the exchange price that would be received for an asset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24" w:name="page125"/>
    <w:bookmarkEnd w:id="124"/>
    <w:p>
      <w:pPr>
        <w:ind w:right="240"/>
        <w:spacing w:after="0" w:line="282" w:lineRule="auto"/>
        <w:rPr>
          <w:sz w:val="20"/>
          <w:szCs w:val="20"/>
          <w:color w:val="auto"/>
        </w:rPr>
      </w:pPr>
      <w:r>
        <w:rPr>
          <w:rFonts w:ascii="Times New Roman" w:cs="Times New Roman" w:eastAsia="Times New Roman" w:hAnsi="Times New Roman"/>
          <w:sz w:val="18"/>
          <w:szCs w:val="18"/>
          <w:color w:val="auto"/>
        </w:rPr>
        <w:t>paid to transfer a liability (an exit price) in the principal or most advantageous market for the asset or liability in an orderly transaction between market participants on the measurement date.</w:t>
      </w:r>
    </w:p>
    <w:p>
      <w:pPr>
        <w:spacing w:after="0" w:line="135" w:lineRule="exact"/>
        <w:rPr>
          <w:sz w:val="20"/>
          <w:szCs w:val="20"/>
          <w:color w:val="auto"/>
        </w:rPr>
      </w:pPr>
    </w:p>
    <w:p>
      <w:pPr>
        <w:ind w:firstLine="582"/>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on a recurring basis as of December 31, 2025 and 2024 and indicates the level of the fair value hierarchy utilized to determine such fair value:</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8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 of</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94"/>
        </w:trPr>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26,614</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 of</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94"/>
        </w:trPr>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21,813</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21,813</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$26.6 million in cash equivalents, and did not hold any marketable securities. The Company measures the cash equivalents that are invested in money market funds using Level 1 inputs for identical securities. As of December 31, 2024, the Company had $21.8 million in cash equivalents, and did not hold any marketable securities. For the years ended December 31, 2025 and 2024 there were no transfers between Levels 1, 2 or 3.</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9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6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net as of December 31, 2025 and 2024 consisted of the following:</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9"/>
        </w:trPr>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r>
      <w:tr>
        <w:trPr>
          <w:trHeight w:val="209"/>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42"/>
        </w:trPr>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18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3,511</w:t>
            </w:r>
          </w:p>
        </w:tc>
        <w:tc>
          <w:tcPr>
            <w:tcW w:w="6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3,785</w:t>
            </w: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r>
      <w:tr>
        <w:trPr>
          <w:trHeight w:val="209"/>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3,904</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4,151</w:t>
            </w: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w:t>
            </w:r>
          </w:p>
        </w:tc>
      </w:tr>
      <w:tr>
        <w:trPr>
          <w:trHeight w:val="250"/>
        </w:trPr>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-24765</wp:posOffset>
            </wp:positionV>
            <wp:extent cx="1028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1028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2025 and 2024 was included in the consolidated statements of operations as follows:</w:t>
      </w:r>
    </w:p>
    <w:p>
      <w:pPr>
        <w:spacing w:after="0" w:line="397"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56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r>
      <w:tr>
        <w:trPr>
          <w:trHeight w:val="209"/>
        </w:trPr>
        <w:tc>
          <w:tcPr>
            <w:tcW w:w="6560" w:type="dxa"/>
            <w:vAlign w:val="bottom"/>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08"/>
        </w:trPr>
        <w:tc>
          <w:tcPr>
            <w:tcW w:w="6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(in</w:t>
            </w:r>
          </w:p>
        </w:tc>
        <w:tc>
          <w:tcPr>
            <w:tcW w:w="1400" w:type="dxa"/>
            <w:vAlign w:val="bottom"/>
            <w:gridSpan w:val="2"/>
          </w:tcPr>
          <w:p>
            <w:pPr>
              <w:jc w:val="center"/>
              <w:ind w:right="690"/>
              <w:spacing w:after="0"/>
              <w:rPr>
                <w:sz w:val="20"/>
                <w:szCs w:val="20"/>
                <w:color w:val="auto"/>
              </w:rPr>
            </w:pPr>
            <w:r>
              <w:rPr>
                <w:rFonts w:ascii="Times New Roman" w:cs="Times New Roman" w:eastAsia="Times New Roman" w:hAnsi="Times New Roman"/>
                <w:sz w:val="16"/>
                <w:szCs w:val="16"/>
                <w:b w:val="1"/>
                <w:bCs w:val="1"/>
                <w:color w:val="auto"/>
                <w:w w:val="82"/>
              </w:rPr>
              <w:t>thousands)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8"/>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shd w:val="clear" w:color="auto" w:fill="CFF0FC"/>
          </w:tcPr>
          <w:p>
            <w:pPr>
              <w:jc w:val="center"/>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80" w:type="dxa"/>
            <w:vAlign w:val="bottom"/>
          </w:tcPr>
          <w:p>
            <w:pPr>
              <w:spacing w:after="0"/>
              <w:rPr>
                <w:sz w:val="18"/>
                <w:szCs w:val="18"/>
                <w:color w:val="auto"/>
              </w:rPr>
            </w:pPr>
          </w:p>
        </w:tc>
      </w:tr>
      <w:tr>
        <w:trPr>
          <w:trHeight w:val="22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total</w:t>
            </w:r>
          </w:p>
        </w:tc>
        <w:tc>
          <w:tcPr>
            <w:tcW w:w="102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0" w:type="dxa"/>
            <w:vAlign w:val="bottom"/>
            <w:gridSpan w:val="2"/>
            <w:shd w:val="clear" w:color="auto" w:fill="CFF0FC"/>
          </w:tcPr>
          <w:p>
            <w:pPr>
              <w:jc w:val="center"/>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80" w:type="dxa"/>
            <w:vAlign w:val="bottom"/>
            <w:shd w:val="clear" w:color="auto" w:fill="CFF0FC"/>
          </w:tcPr>
          <w:p>
            <w:pPr>
              <w:spacing w:after="0"/>
              <w:rPr>
                <w:sz w:val="19"/>
                <w:szCs w:val="19"/>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596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596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-25400</wp:posOffset>
            </wp:positionV>
            <wp:extent cx="596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-8255</wp:posOffset>
            </wp:positionV>
            <wp:extent cx="596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depreciation reported above excludes $11,667 of trademark amortization recorded in each of the years ended December 31, 2025 and 2024.</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50" w:right="459" w:bottom="1440" w:gutter="0" w:footer="0" w:header="0"/>
        </w:sectPr>
      </w:pPr>
    </w:p>
    <w:bookmarkStart w:id="125" w:name="page126"/>
    <w:bookmarkEnd w:id="125"/>
    <w:p>
      <w:pPr>
        <w:ind w:right="240" w:firstLine="41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sold lab equipment and collected cash of $0.04 million. The Company recorded a loss on the sale of fixed assets of $0.03 million, which is presented in operating expenses on the consolidated statements of operations.</w:t>
      </w:r>
    </w:p>
    <w:p>
      <w:pPr>
        <w:spacing w:after="0" w:line="162" w:lineRule="exact"/>
        <w:rPr>
          <w:sz w:val="20"/>
          <w:szCs w:val="20"/>
          <w:color w:val="auto"/>
        </w:rPr>
      </w:pPr>
    </w:p>
    <w:p>
      <w:pPr>
        <w:ind w:right="100" w:firstLine="41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disposed of lab equipment and furniture and fixtures of $0.3 million and recorded a gain of $0.1 million for cash collected for the sale of lab equipment, which is included in the consolidated statements of operations.</w:t>
      </w:r>
    </w:p>
    <w:p>
      <w:pPr>
        <w:spacing w:after="0" w:line="200" w:lineRule="exact"/>
        <w:rPr>
          <w:sz w:val="20"/>
          <w:szCs w:val="20"/>
          <w:color w:val="auto"/>
        </w:rPr>
      </w:pPr>
    </w:p>
    <w:p>
      <w:pPr>
        <w:spacing w:after="0" w:line="201" w:lineRule="exact"/>
        <w:rPr>
          <w:sz w:val="20"/>
          <w:szCs w:val="20"/>
          <w:color w:val="auto"/>
        </w:rPr>
      </w:pPr>
    </w:p>
    <w:p>
      <w:pPr>
        <w:ind w:left="540" w:hanging="532"/>
        <w:spacing w:after="0"/>
        <w:tabs>
          <w:tab w:leader="none" w:pos="5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Method Investment</w:t>
      </w:r>
    </w:p>
    <w:p>
      <w:pPr>
        <w:spacing w:after="0" w:line="18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On November 6, 2025, ImmunoScape Pte. Ltd. (“IMSCP”) exercised its option (the “Option”) to obtain licenses to research, develop and commercialize molecules from the Company's CUE-100 series, including CUE-101 and CUE-102, subject to certain exclusions (the licensed series of molecules, the “Licensed Program”), for all oncology indications pursuant to a Collaboration and License Agreement, effective November 6, 2025, between the Company and IMSCP (the “IMSCP Collaboration and License Agreement”). Pursuant to the IMSCP Collaboration and License Agreement, the Company received equity of IMSCP equal to 40% of the issued and outstanding equity of IMSCP and is entitled to receive additional equity, in the form of warrants, upon certain dilution events in the future. As of the transaction date, the Company held 30% of IMSCP’s common shares and warrants to purchase 10% of IMSCP’s common shares at an exercise price of $0.01 per share. The warrants expire on November 5, 2035 or upon change in control of IMSCP.</w:t>
      </w:r>
    </w:p>
    <w:p>
      <w:pPr>
        <w:spacing w:after="0" w:line="19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of the transaction date, the carrying value of the investment in IMSCP was $3.9 million, comprised of $2.9 million from common shares and $1.0 million from the warrants. The value of the warrants was included in the investment under equity method accounting as they are considered in-substance common stock. The contingent issuable warrants are accounted for as a derivative instrument and were prescribed no value at the inception of the IMSCP Collaboration and License Agreement and at December 31, 2025 as the probability of issuance was remote. There was no change in value from inception to December 31, 2025, and the inputs used to determine the fair value of the contingent issuable warrants are a Level 3 fair value measurement.</w:t>
      </w:r>
    </w:p>
    <w:p>
      <w:pPr>
        <w:spacing w:after="0" w:line="183"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The Company has determined that its investment in IMSCP is an equity security, whereby such investment does not give the Company a controlling financial interest over the investee. Further, the Company assessed the accounting for its investment in IMSCP in accordance with ASC 810-10, Consolidation—Overall. After determining that no scope exception applies under the guidance of ASC 810-10-15-12 and ASC 810-10-15-17, the Company concluded that it has a variable interest in IMSCP through its investment in IMSCP common stock. The Company concluded that IMSCP is a VIE in accordance with ASC 810-10-15-14(a) and is subject to potential consolidation under the VIE model. However, all activities that most significantly impact IMSCP and its subsidiary’s economic performance are directed by the IMSCP board and the board approves decisions by a simple majority. Based on the board composition, the Company determined that no one party has control over the IMSCP board and power is not shared because the activities that most significantly affect IMSCP and its subsidiary’s economic performance do not require the consent of all of the parties. Rather, all decisions are made by a simple majority vote of the IMSCP board. Therefore, while the Company has the ability to appoint one director of IMSCP, because that director represents a minority position of the IMSCP board, the Company cannot unilaterally direct any of the activities that most significantly impact IMSCP and its subsidiary’s economic performance. Accordingly, the Company does not hold a controlling financial interest in IMSCP. Because both criteria (a) and</w:t>
      </w:r>
    </w:p>
    <w:p>
      <w:pPr>
        <w:spacing w:after="0" w:line="4" w:lineRule="exact"/>
        <w:rPr>
          <w:sz w:val="20"/>
          <w:szCs w:val="20"/>
          <w:color w:val="auto"/>
        </w:rPr>
      </w:pPr>
    </w:p>
    <w:p>
      <w:pPr>
        <w:ind w:firstLine="8"/>
        <w:spacing w:after="0" w:line="260"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have to be met for the application of the guidance in ASC 810-10-25-38A and criteria (a) has not been met, the Company concluded that it should not consolidate IMSCP under the VIE model.</w:t>
      </w:r>
    </w:p>
    <w:p>
      <w:pPr>
        <w:spacing w:after="0" w:line="18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accounts for its investment in IMSCP as an equity method investment as it does not control but has significant influence over operating and financing policies of IMSCP. The initial fair value of the investment in IMSCP was determined by using the option pricing model to allocate the estimated equity value to each respective equity class. The equity value was determined by using the net asset value approach for the net assets of IMSCP and the cost replacement approach for the intellectual property related to the CUE-100 series licensed to IMSCP. The major assumptions used in the option pricing model include volatility of 120.0%, risk free rate of 3.7%, dividend yield of 0.0% and time to liquidity event of 5.0 years. The inputs used to determine the fair value of the investment in IMSCP are a Level 3 fair value measurement.</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At the transaction date, a basis difference was identified between the carrying value of the Company’s investment in IMSCP and the fair value of the Company’s proportionate share of IMSCP’s underlying net assets. The Company concluded that substantially all of the consideration transferred was attributable to in-process research and development activities. IMSCP was not deemed a business as defined in ASC 805 – Business Combinations, therefore the Company immediately expensed the basis difference attributable to the in-process research and development which has no alternative future use. The Company’s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26" w:name="page127"/>
    <w:bookmarkEnd w:id="126"/>
    <w:p>
      <w:pPr>
        <w:jc w:val="both"/>
        <w:spacing w:after="0" w:line="258" w:lineRule="auto"/>
        <w:rPr>
          <w:sz w:val="20"/>
          <w:szCs w:val="20"/>
          <w:color w:val="auto"/>
        </w:rPr>
      </w:pPr>
      <w:r>
        <w:rPr>
          <w:rFonts w:ascii="Times New Roman" w:cs="Times New Roman" w:eastAsia="Times New Roman" w:hAnsi="Times New Roman"/>
          <w:sz w:val="18"/>
          <w:szCs w:val="18"/>
          <w:color w:val="auto"/>
        </w:rPr>
        <w:t>proportionate share of the basis difference exceeded its carrying value of the equity method investment in IMSCP and the equity investment balance was reduced to zero on the transaction date. Since the Company has no obligation to provide financing support to IMSCP, the Company is not required to record further losses exceeding the carrying value of the investment. For the year ended December 31, 2025, the Company recognized $3.9 million in research and development expenses related to the basis difference in the Company’s consolidated statements of operations. The carrying value of the Company's investment in IMSCP was zero as of December 31, 2025.</w:t>
      </w:r>
    </w:p>
    <w:p>
      <w:pPr>
        <w:spacing w:after="0" w:line="200" w:lineRule="exact"/>
        <w:rPr>
          <w:sz w:val="20"/>
          <w:szCs w:val="20"/>
          <w:color w:val="auto"/>
        </w:rPr>
      </w:pPr>
    </w:p>
    <w:p>
      <w:pPr>
        <w:spacing w:after="0" w:line="371" w:lineRule="exact"/>
        <w:rPr>
          <w:sz w:val="20"/>
          <w:szCs w:val="20"/>
          <w:color w:val="auto"/>
        </w:rPr>
      </w:pPr>
    </w:p>
    <w:p>
      <w:pPr>
        <w:ind w:left="540" w:hanging="532"/>
        <w:spacing w:after="0"/>
        <w:tabs>
          <w:tab w:leader="none" w:pos="5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with Silicon Valley Bank, a Division of First Citizens Bank</w:t>
      </w:r>
    </w:p>
    <w:p>
      <w:pPr>
        <w:spacing w:after="0" w:line="20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February 15, 2022 (the “Closing Date”), the Company entered into a Loan and Security Agreement (the “Loan Agreement”), with Silicon Valley Bank, as lender (“SVB”). The Loan Agreement was amended in April 2023 and October 2024. The Company drew $10,000,000 in term loans under the Loan Agreement (the "Term Loans") on the Closing Date. All outstanding principal and accrued and unpaid interest under the Term Loans and all other outstanding obligations with respect to the Term Loans were due and payable in full on December 1, 2025. As of December 31, 2025, the Term Loans were fully paid off and there was no remaining balance related to the loans.</w:t>
      </w:r>
    </w:p>
    <w:p>
      <w:pPr>
        <w:spacing w:after="0" w:line="14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Term Loans bore interest at a floating rate per annum equal to the greater of (A) the prime rate (as published in the money rates section of The Wall Street Journal) plus 2.25% and (B) 5.50%. The Term Loans were interest only from the Closing Date through June 30, 2023, after which the Company was required to pay 30 equal monthly installments of principal. At December 31, 2024, the interest rate was 10.00% which is based on the prime rate plus 2.25%.</w:t>
      </w:r>
    </w:p>
    <w:p>
      <w:pPr>
        <w:spacing w:after="0" w:line="139" w:lineRule="exact"/>
        <w:rPr>
          <w:sz w:val="20"/>
          <w:szCs w:val="20"/>
          <w:color w:val="auto"/>
        </w:rPr>
      </w:pPr>
    </w:p>
    <w:p>
      <w:pPr>
        <w:jc w:val="both"/>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Company was permitted to prepay the Term Loans in full with payment of a 1.00% prepayment premium. Upon repayment in full of the Term Loans, the Company was required to pay a one-time final payment fee equal to 5.00% of the original principal amount of any funded Term Loans being repaid. This one-time final payment fee is recorded to interest expense using the effective interest method over the period of the Term Loans in the consolidated statements of operations.</w:t>
      </w:r>
    </w:p>
    <w:p>
      <w:pPr>
        <w:spacing w:after="0" w:line="153"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The Term Loans and related obligations under the Loan Agreement were secured by substantially all of the Company’s properties, rights and assets, except for its intellectual property which was subject to a negative pledge under the Loan Agreement.</w:t>
      </w:r>
    </w:p>
    <w:p>
      <w:pPr>
        <w:spacing w:after="0" w:line="121"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Loan Agreement, as amended, contained customary representations, warranties, events of default and covenants. In addition to the foregoing, the Company was required to have at all times on deposit in accounts of the Company maintained with SVB, unrestricted and unencumbered cash in an amount equal to the lesser of (i) 100% of the dollar value of the Company’s consolidated cash, in the aggregate, at all financial institutions and (ii) $20,000,000.</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years ended December 31, 2025 and 2024, the Company recognized interest expense related to the Term Loans of $0.2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 million, respectively. For both the years ended December 31, 2025 and 2024, the Company recognized interest expense related to accretion of the 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of $0.1 million.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21" w:lineRule="exact"/>
        <w:rPr>
          <w:sz w:val="20"/>
          <w:szCs w:val="20"/>
          <w:color w:val="auto"/>
        </w:rPr>
      </w:pPr>
    </w:p>
    <w:p>
      <w:pPr>
        <w:ind w:right="20" w:firstLine="509"/>
        <w:spacing w:after="0" w:line="312" w:lineRule="auto"/>
        <w:rPr>
          <w:sz w:val="20"/>
          <w:szCs w:val="20"/>
          <w:color w:val="auto"/>
        </w:rPr>
      </w:pPr>
      <w:r>
        <w:rPr>
          <w:rFonts w:ascii="Times New Roman" w:cs="Times New Roman" w:eastAsia="Times New Roman" w:hAnsi="Times New Roman"/>
          <w:sz w:val="17"/>
          <w:szCs w:val="17"/>
          <w:color w:val="auto"/>
        </w:rPr>
        <w:t>Debt issuance costs are deferred and presented as a reduction to long-term debt. Debt issuance costs are amortized using the effective interest rate method over the term of the loan. Amortization of deferred debt issuance costs are included in interest expense in the consolidated statements of operations.</w:t>
      </w:r>
    </w:p>
    <w:p>
      <w:pPr>
        <w:spacing w:after="0" w:line="3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incurred $142,000 in debt issuance costs related to the Loan Agreement at its onset. For both the years ended December 31, 2025 and 2024, the Company recorded $37,000 in amortization of debt issuance costs to interest expense in the consolidated statements of operations.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27" w:name="page128"/>
    <w:bookmarkEnd w:id="127"/>
    <w:p>
      <w:pPr>
        <w:ind w:left="460" w:hanging="452"/>
        <w:spacing w:after="0"/>
        <w:tabs>
          <w:tab w:leader="none" w:pos="4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Accrued expenses as of December 31, 2025 and 2024 are summarized as follows: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and board compensation</w:t>
            </w:r>
          </w:p>
        </w:tc>
        <w:tc>
          <w:tcPr>
            <w:tcW w:w="16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1,812</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 research services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773</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Contract manufacturing services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3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1,611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2,908</w:t>
            </w: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43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431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90"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Einstein License Agreement</w:t>
      </w:r>
    </w:p>
    <w:p>
      <w:pPr>
        <w:spacing w:after="0" w:line="121" w:lineRule="exact"/>
        <w:rPr>
          <w:sz w:val="20"/>
          <w:szCs w:val="20"/>
          <w:color w:val="auto"/>
        </w:rPr>
      </w:pPr>
    </w:p>
    <w:p>
      <w:pPr>
        <w:ind w:firstLine="582"/>
        <w:spacing w:after="0" w:line="261" w:lineRule="auto"/>
        <w:rPr>
          <w:sz w:val="20"/>
          <w:szCs w:val="20"/>
          <w:color w:val="auto"/>
        </w:rPr>
      </w:pPr>
      <w:r>
        <w:rPr>
          <w:rFonts w:ascii="Times New Roman" w:cs="Times New Roman" w:eastAsia="Times New Roman" w:hAnsi="Times New Roman"/>
          <w:sz w:val="18"/>
          <w:szCs w:val="18"/>
          <w:color w:val="auto"/>
        </w:rPr>
        <w:t>On January 14, 2015, the Company entered into a license agreement, as amended and restated on July 31, 2017 and as further amended on October 30, 2018, January 13, 2024, and April 10, 2025 (the “Einstein License”), with Albert Einstein College of Medicine (“Einstein”) for certain patent rights relating to the Company’s core technology platform for the engineering of biologics to control T cell activity, precision, immune-modulatory drug product candidates, and two supporting technologies that enable the discovery of costimulatory signaling molecules (ligands) and T cell targeting peptides.</w:t>
      </w:r>
    </w:p>
    <w:p>
      <w:pPr>
        <w:spacing w:after="0" w:line="72" w:lineRule="exact"/>
        <w:rPr>
          <w:sz w:val="20"/>
          <w:szCs w:val="20"/>
          <w:color w:val="auto"/>
        </w:rPr>
      </w:pPr>
    </w:p>
    <w:p>
      <w:pPr>
        <w:ind w:right="120" w:firstLine="582"/>
        <w:spacing w:after="0" w:line="261" w:lineRule="auto"/>
        <w:rPr>
          <w:sz w:val="20"/>
          <w:szCs w:val="20"/>
          <w:color w:val="auto"/>
        </w:rPr>
      </w:pPr>
      <w:r>
        <w:rPr>
          <w:rFonts w:ascii="Times New Roman" w:cs="Times New Roman" w:eastAsia="Times New Roman" w:hAnsi="Times New Roman"/>
          <w:sz w:val="18"/>
          <w:szCs w:val="18"/>
          <w:color w:val="auto"/>
        </w:rPr>
        <w:t>Pursuant to the April 2025 amendment, Einstein consented to the Company’s entry into the Collaboration and License Agreement (the “BI Collaboration and License Agreement”) with Boehringer Ingelheim International GmbH (“BI”) and granted the Company the right to sublicense to BI. In addition, Einstein and the Company agreed to amend specified upstream payment obligations that may be owed to Einstein by the Company, solely in connection with the sublicense to BI.</w:t>
      </w:r>
    </w:p>
    <w:p>
      <w:pPr>
        <w:spacing w:after="0" w:line="139" w:lineRule="exact"/>
        <w:rPr>
          <w:sz w:val="20"/>
          <w:szCs w:val="20"/>
          <w:color w:val="auto"/>
        </w:rPr>
      </w:pPr>
    </w:p>
    <w:p>
      <w:pPr>
        <w:jc w:val="both"/>
        <w:ind w:right="520" w:firstLine="582"/>
        <w:spacing w:after="0" w:line="266" w:lineRule="auto"/>
        <w:rPr>
          <w:sz w:val="20"/>
          <w:szCs w:val="20"/>
          <w:color w:val="auto"/>
        </w:rPr>
      </w:pPr>
      <w:r>
        <w:rPr>
          <w:rFonts w:ascii="Times New Roman" w:cs="Times New Roman" w:eastAsia="Times New Roman" w:hAnsi="Times New Roman"/>
          <w:sz w:val="18"/>
          <w:szCs w:val="18"/>
          <w:color w:val="auto"/>
        </w:rPr>
        <w:t>Under the Einstein License, the Company holds an exclusive worldwide license, with the right to sublicense, import, make, have made, use, provide, offer to sell, and sell all products, processes and services that use the patents covered by the Einstein License, including certain technology received from Einstein relating thereto (the “Einstein Licensed Products”). Under the Einstein License, the Company is required to:</w:t>
      </w:r>
    </w:p>
    <w:p>
      <w:pPr>
        <w:spacing w:after="0" w:line="68" w:lineRule="exact"/>
        <w:rPr>
          <w:sz w:val="20"/>
          <w:szCs w:val="20"/>
          <w:color w:val="auto"/>
        </w:rPr>
      </w:pPr>
    </w:p>
    <w:p>
      <w:pPr>
        <w:ind w:left="1020" w:right="34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royalties and amounts based on a certain percentage of proceeds, as defined in the Einstein License, from sales of Einstein Licensed Products and sublicense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escalating annual maintenance fees, which are nonrefundable, but are creditable against the amount due to Einstein for royalties.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significant payments based upon the achievement of certain milestones, as defined in the Einstein License. Payments made upon achievement of milestones are nonrefundable and are not creditable against any other payment due to Einstein. At December 31, 2025, the Company had made aggregate payments totaling $2.14 million since inception with respect to achievement of these milestones.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minimum product development costs until the first commercial sale of the first Einstein Licensed Product.</w:t>
      </w:r>
    </w:p>
    <w:p>
      <w:pPr>
        <w:spacing w:after="0" w:line="225" w:lineRule="exact"/>
        <w:rPr>
          <w:sz w:val="20"/>
          <w:szCs w:val="20"/>
          <w:color w:val="auto"/>
        </w:rPr>
      </w:pPr>
    </w:p>
    <w:p>
      <w:pPr>
        <w:ind w:right="80" w:firstLine="554"/>
        <w:spacing w:after="0" w:line="261" w:lineRule="auto"/>
        <w:rPr>
          <w:sz w:val="20"/>
          <w:szCs w:val="20"/>
          <w:color w:val="auto"/>
        </w:rPr>
      </w:pPr>
      <w:r>
        <w:rPr>
          <w:rFonts w:ascii="Times New Roman" w:cs="Times New Roman" w:eastAsia="Times New Roman" w:hAnsi="Times New Roman"/>
          <w:sz w:val="18"/>
          <w:szCs w:val="18"/>
          <w:color w:val="auto"/>
        </w:rPr>
        <w:t>The Einstein License requires the Company to pay a percentage of sublicenses related to the Company’s patent rights for components of its core technology that is licensed from Einstein. For the year ended December 31, 2025, the Company incurred a total of $1.5 million in fees payable to Einstein related to the IMSCP Collaboration and License Agreement, and paid $0.9 million in fees to Einstein in relation to the BI Collaboration and License Agreement. For the year ended December 31, 2024, the Company incurred $0.1 million in annual maintenance fees pursuant to the Einstein License.</w:t>
      </w:r>
    </w:p>
    <w:p>
      <w:pPr>
        <w:spacing w:after="0" w:line="180" w:lineRule="exact"/>
        <w:rPr>
          <w:sz w:val="20"/>
          <w:szCs w:val="20"/>
          <w:color w:val="auto"/>
        </w:rPr>
      </w:pPr>
    </w:p>
    <w:p>
      <w:pPr>
        <w:ind w:right="200" w:firstLine="582"/>
        <w:spacing w:after="0" w:line="261" w:lineRule="auto"/>
        <w:rPr>
          <w:sz w:val="20"/>
          <w:szCs w:val="20"/>
          <w:color w:val="auto"/>
        </w:rPr>
      </w:pPr>
      <w:r>
        <w:rPr>
          <w:rFonts w:ascii="Times New Roman" w:cs="Times New Roman" w:eastAsia="Times New Roman" w:hAnsi="Times New Roman"/>
          <w:sz w:val="18"/>
          <w:szCs w:val="18"/>
          <w:color w:val="auto"/>
        </w:rPr>
        <w:t>The Einstein License expires upon the expiration of the Company’s last obligation to make royalty payments to Einstein which may be due with respect to certain Einstein Licensed Products, unless terminated earlier under the provisions thereof. The Einstein License includes certain termination provisions if the Company fails to meet its obligations thereunder. The Company was in compliance with its obligations under the Einstein License at December 31, 2025 and 2024.</w:t>
      </w:r>
    </w:p>
    <w:p>
      <w:pPr>
        <w:spacing w:after="0" w:line="153" w:lineRule="exact"/>
        <w:rPr>
          <w:sz w:val="20"/>
          <w:szCs w:val="20"/>
          <w:color w:val="auto"/>
        </w:rPr>
      </w:pPr>
    </w:p>
    <w:p>
      <w:pPr>
        <w:ind w:right="700" w:firstLine="582"/>
        <w:spacing w:after="0" w:line="282" w:lineRule="auto"/>
        <w:rPr>
          <w:sz w:val="20"/>
          <w:szCs w:val="20"/>
          <w:color w:val="auto"/>
        </w:rPr>
      </w:pPr>
      <w:r>
        <w:rPr>
          <w:rFonts w:ascii="Times New Roman" w:cs="Times New Roman" w:eastAsia="Times New Roman" w:hAnsi="Times New Roman"/>
          <w:sz w:val="18"/>
          <w:szCs w:val="18"/>
          <w:color w:val="auto"/>
        </w:rPr>
        <w:t>Pursuant to the Einstein License, the Company issued to Einstein 671,572 shares of the Company’s common stock in connection with the consummation of the initial public offering of its common stock on December 27, 2017.</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accounts for license fees incurred in connection with the Einstein License in accordance with ASC 730, Research and Development.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10 Collaboration Revenue.</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6" w:right="399" w:bottom="1440" w:gutter="0" w:footer="0" w:header="0"/>
        </w:sectPr>
      </w:pPr>
    </w:p>
    <w:bookmarkStart w:id="128" w:name="page129"/>
    <w:bookmarkEnd w:id="128"/>
    <w:p>
      <w:pPr>
        <w:ind w:left="460" w:hanging="452"/>
        <w:spacing w:after="0"/>
        <w:tabs>
          <w:tab w:leader="none" w:pos="4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firstLine="582"/>
        <w:spacing w:after="0" w:line="256" w:lineRule="auto"/>
        <w:rPr>
          <w:sz w:val="20"/>
          <w:szCs w:val="20"/>
          <w:color w:val="auto"/>
        </w:rPr>
      </w:pPr>
      <w:r>
        <w:rPr>
          <w:rFonts w:ascii="Times New Roman" w:cs="Times New Roman" w:eastAsia="Times New Roman" w:hAnsi="Times New Roman"/>
          <w:sz w:val="18"/>
          <w:szCs w:val="18"/>
          <w:color w:val="auto"/>
        </w:rPr>
        <w:t>Effective March 23, 2016, the Company adopted the 2016 Omnibus Incentive Plan (the “Omnibus Plan”) and the 2016 Non-Employee Equity Incentive Plan (the “Non-Employee Plan”), which are intended to allow the Company to compensate and retain the services of key employees, non-employees, Scientific and Clinical Advisory Board members, and outside advisors and consultants. The plans are under the administration of the Company’s Board of Directors. Under the plans, the Company, at its discretion, may grant stock option awards to certain employees and non-employees through March 23, 2026. The Omnibus Plan and the Non-Employee Plan initially provided for the grant of a total of 2,000,000 shares of common stock and 500,000 shares of common stock, respectively.</w:t>
      </w:r>
    </w:p>
    <w:p>
      <w:pPr>
        <w:spacing w:after="0" w:line="160" w:lineRule="exact"/>
        <w:rPr>
          <w:sz w:val="20"/>
          <w:szCs w:val="20"/>
          <w:color w:val="auto"/>
        </w:rPr>
      </w:pPr>
    </w:p>
    <w:p>
      <w:pPr>
        <w:ind w:right="60" w:firstLine="582"/>
        <w:spacing w:after="0" w:line="253" w:lineRule="auto"/>
        <w:rPr>
          <w:sz w:val="20"/>
          <w:szCs w:val="20"/>
          <w:color w:val="auto"/>
        </w:rPr>
      </w:pPr>
      <w:r>
        <w:rPr>
          <w:rFonts w:ascii="Times New Roman" w:cs="Times New Roman" w:eastAsia="Times New Roman" w:hAnsi="Times New Roman"/>
          <w:sz w:val="18"/>
          <w:szCs w:val="18"/>
          <w:color w:val="auto"/>
        </w:rPr>
        <w:t>On August 13, 2017, the Company’s Board of Directors approved an amendment and restatement of the Company’s Omnibus Plan to increase the number of shares authorized for issuance under such plan by 800,000 shares, from 2,000,000 shares to 2,800,000 shares, subject to stockholder approval of such amendment within 12 months following board approval thereof. The Company’s stockholders approved the plan in December 2017. Additionally, on May 17, 2019, the Company’s Board of Directors approved Amendment No. 1 to the Omnibus Plan to increase the number of shares that may be issued as incentive stock options under the plan, which the Company’s stockholders approved on August 6, 2019. The Omnibus Plan, as amended and restated, provides that on the first day of each fiscal year of the Company during the period beginning in fiscal year ended December 31, 2018 and ending on the second day of fiscal year ending December 31, 2027, the number of shares of common stock authorized to be issued under such plan shall be increased by an amount equal to the lesser of (i) the number of shares necessary such that the aggregate number of shares available to be issued under the plan equals 20% of the number of fully diluted outstanding shares on such date (assuming the conversion of all outstanding shares of preferred stock and other outstanding convertible securities and exercise of all outstanding options and warrants to purchase shares) and (ii) an amount to be determined by the Company’s Board of Directors.</w:t>
      </w:r>
    </w:p>
    <w:p>
      <w:pPr>
        <w:spacing w:after="0" w:line="151" w:lineRule="exact"/>
        <w:rPr>
          <w:sz w:val="20"/>
          <w:szCs w:val="20"/>
          <w:color w:val="auto"/>
        </w:rPr>
      </w:pPr>
    </w:p>
    <w:p>
      <w:pPr>
        <w:ind w:right="20" w:firstLine="582"/>
        <w:spacing w:after="0" w:line="256" w:lineRule="auto"/>
        <w:rPr>
          <w:sz w:val="20"/>
          <w:szCs w:val="20"/>
          <w:color w:val="auto"/>
        </w:rPr>
      </w:pPr>
      <w:r>
        <w:rPr>
          <w:rFonts w:ascii="Times New Roman" w:cs="Times New Roman" w:eastAsia="Times New Roman" w:hAnsi="Times New Roman"/>
          <w:sz w:val="18"/>
          <w:szCs w:val="18"/>
          <w:color w:val="auto"/>
        </w:rPr>
        <w:t>On June 4, 2025, the Company’s stockholders approved the Cue Biopharma, Inc. 2025 Stock Incentive Plan (the “2025 Plan”) to replace both the Omnibus Plan and the Non-Employee Plan, both of which will expire on March 23, 2026. The purpose of the 2025 Plan is to allow the Company to compensate and retain the services of key employees, non-employees, scientific and clinical advisory board members, and outside advisors and consultants. The plan is under the administration of the Company’s Board of Directors. Under the 2025 Plan, the Company, at its discretion, may grant stock option awards to certain employees and non-employees through June 4, 2035. The 2025 Plan provided for the grant of a total of 6,200,000 shares of common stock.</w:t>
      </w:r>
    </w:p>
    <w:p>
      <w:pPr>
        <w:spacing w:after="0" w:line="147" w:lineRule="exact"/>
        <w:rPr>
          <w:sz w:val="20"/>
          <w:szCs w:val="20"/>
          <w:color w:val="auto"/>
        </w:rPr>
      </w:pPr>
    </w:p>
    <w:p>
      <w:pPr>
        <w:ind w:right="620" w:firstLine="582"/>
        <w:spacing w:after="0" w:line="312" w:lineRule="auto"/>
        <w:rPr>
          <w:sz w:val="20"/>
          <w:szCs w:val="20"/>
          <w:color w:val="auto"/>
        </w:rPr>
      </w:pPr>
      <w:r>
        <w:rPr>
          <w:rFonts w:ascii="Times New Roman" w:cs="Times New Roman" w:eastAsia="Times New Roman" w:hAnsi="Times New Roman"/>
          <w:sz w:val="17"/>
          <w:szCs w:val="17"/>
          <w:color w:val="auto"/>
        </w:rPr>
        <w:t>Pursuant to the plans, during the year ended December 31, 2025, the Company granted stock options to purchase 4,993,600 shares of the Company’s common stock, no options to purchase shares of common stock were exercised, and 2,712,857 shares of common stock were cancelled.</w:t>
      </w:r>
    </w:p>
    <w:p>
      <w:pPr>
        <w:spacing w:after="0" w:line="113" w:lineRule="exact"/>
        <w:rPr>
          <w:sz w:val="20"/>
          <w:szCs w:val="20"/>
          <w:color w:val="auto"/>
        </w:rPr>
      </w:pPr>
    </w:p>
    <w:p>
      <w:pPr>
        <w:ind w:right="120" w:firstLine="582"/>
        <w:spacing w:after="0" w:line="266" w:lineRule="auto"/>
        <w:rPr>
          <w:sz w:val="20"/>
          <w:szCs w:val="20"/>
          <w:color w:val="auto"/>
        </w:rPr>
      </w:pPr>
      <w:r>
        <w:rPr>
          <w:rFonts w:ascii="Times New Roman" w:cs="Times New Roman" w:eastAsia="Times New Roman" w:hAnsi="Times New Roman"/>
          <w:sz w:val="18"/>
          <w:szCs w:val="18"/>
          <w:color w:val="auto"/>
        </w:rPr>
        <w:t xml:space="preserve">In the aggregate, at December 31, 2025, stock options for 20,796,021 shares of common stock and 320,000 restricted stock units had been granted and 5,621,928 shares of common stock were reserved for future grants. Such grants are accounted for as stock-based compensation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and ASC 505-50, </w:t>
      </w:r>
      <w:r>
        <w:rPr>
          <w:rFonts w:ascii="Times New Roman" w:cs="Times New Roman" w:eastAsia="Times New Roman" w:hAnsi="Times New Roman"/>
          <w:sz w:val="18"/>
          <w:szCs w:val="18"/>
          <w:i w:val="1"/>
          <w:iCs w:val="1"/>
          <w:color w:val="auto"/>
        </w:rPr>
        <w:t>Equity-Based Payments to Non-Employees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Valuation</w:t>
      </w:r>
    </w:p>
    <w:p>
      <w:pPr>
        <w:spacing w:after="0" w:line="189" w:lineRule="exact"/>
        <w:rPr>
          <w:sz w:val="20"/>
          <w:szCs w:val="20"/>
          <w:color w:val="auto"/>
        </w:rPr>
      </w:pPr>
    </w:p>
    <w:p>
      <w:pPr>
        <w:ind w:right="140" w:firstLine="582"/>
        <w:spacing w:after="0" w:line="282" w:lineRule="auto"/>
        <w:rPr>
          <w:sz w:val="20"/>
          <w:szCs w:val="20"/>
          <w:color w:val="auto"/>
        </w:rPr>
      </w:pPr>
      <w:r>
        <w:rPr>
          <w:rFonts w:ascii="Times New Roman" w:cs="Times New Roman" w:eastAsia="Times New Roman" w:hAnsi="Times New Roman"/>
          <w:sz w:val="18"/>
          <w:szCs w:val="18"/>
          <w:color w:val="auto"/>
        </w:rPr>
        <w:t>For stock options requiring an assessment of value during the years ended December 31, 2025 and 2024, the fair value of each stock option award was estimated using the Black-Scholes option-pricing model utilizing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160" w:type="dxa"/>
            <w:vAlign w:val="bottom"/>
            <w:gridSpan w:val="4"/>
          </w:tcPr>
          <w:p>
            <w:pPr>
              <w:ind w:left="1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17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780" w:type="dxa"/>
            <w:vAlign w:val="bottom"/>
            <w:tcBorders>
              <w:top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3.90 to 4.46%</w:t>
            </w:r>
          </w:p>
        </w:tc>
        <w:tc>
          <w:tcPr>
            <w:tcW w:w="10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3.95 to 4.43%</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34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0%</w:t>
            </w:r>
          </w:p>
        </w:tc>
        <w:tc>
          <w:tcPr>
            <w:tcW w:w="17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340" w:type="dxa"/>
            <w:vAlign w:val="bottom"/>
            <w:gridSpan w:val="2"/>
            <w:shd w:val="clear" w:color="auto" w:fill="CFF0FC"/>
          </w:tcPr>
          <w:p>
            <w:pPr>
              <w:jc w:val="center"/>
              <w:ind w:left="1550"/>
              <w:spacing w:after="0"/>
              <w:rPr>
                <w:sz w:val="20"/>
                <w:szCs w:val="20"/>
                <w:color w:val="auto"/>
              </w:rPr>
            </w:pPr>
            <w:r>
              <w:rPr>
                <w:rFonts w:ascii="Times New Roman" w:cs="Times New Roman" w:eastAsia="Times New Roman" w:hAnsi="Times New Roman"/>
                <w:sz w:val="18"/>
                <w:szCs w:val="18"/>
                <w:color w:val="auto"/>
                <w:w w:val="99"/>
              </w:rPr>
              <w:t>86.46-89.38%</w:t>
            </w:r>
          </w:p>
        </w:tc>
        <w:tc>
          <w:tcPr>
            <w:tcW w:w="17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75.73-86.52%</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6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 to 6.72 years</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 to 6.25 years</w:t>
            </w:r>
          </w:p>
        </w:tc>
        <w:tc>
          <w:tcPr>
            <w:tcW w:w="1680" w:type="dxa"/>
            <w:vAlign w:val="bottom"/>
          </w:tcPr>
          <w:p>
            <w:pPr>
              <w:spacing w:after="0"/>
              <w:rPr>
                <w:sz w:val="20"/>
                <w:szCs w:val="20"/>
                <w:color w:val="auto"/>
              </w:rPr>
            </w:pPr>
          </w:p>
        </w:tc>
      </w:tr>
      <w:tr>
        <w:trPr>
          <w:trHeight w:val="630"/>
        </w:trPr>
        <w:tc>
          <w:tcPr>
            <w:tcW w:w="1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3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F-21</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129" w:name="page130"/>
    <w:bookmarkEnd w:id="129"/>
    <w:p>
      <w:pPr>
        <w:ind w:right="20" w:firstLine="582"/>
        <w:spacing w:after="0" w:line="258" w:lineRule="auto"/>
        <w:rPr>
          <w:sz w:val="20"/>
          <w:szCs w:val="20"/>
          <w:color w:val="auto"/>
        </w:rPr>
      </w:pPr>
      <w:r>
        <w:rPr>
          <w:rFonts w:ascii="Times New Roman" w:cs="Times New Roman" w:eastAsia="Times New Roman" w:hAnsi="Times New Roman"/>
          <w:sz w:val="18"/>
          <w:szCs w:val="18"/>
          <w:color w:val="auto"/>
        </w:rPr>
        <w:t>The risk-free interest rate is based on the U.S. Treasury yield curve in effect at the time of grant for periods corresponding with the expected term of the stock option award; as permitted by Staff Accounting Bulletin No. 107, due to the Company’s limited trading history and option activity, management utilizes the simplified method to estimate the expected term of options at the date of grant, which represents the period of time that stock options granted are expected to be outstanding; the expected volatility is based upon historical volatility of the Company's stock; and the expected dividend yield based upon the Company’s current dividend rate and future expectations.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summary of stock option activity for the years ended December 31, 2025 and 2024 is as follows: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6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8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38"/>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6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80" w:type="dxa"/>
            <w:vAlign w:val="bottom"/>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09"/>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 at December 31, 2023</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7,492,917</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8.41</w:t>
            </w:r>
          </w:p>
        </w:tc>
        <w:tc>
          <w:tcPr>
            <w:tcW w:w="11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4,383,300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(1,404,493)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 at December 31, 2024</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10,471,724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118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4,993,600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0.82</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(2,712,857)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outstanding at December 31, 2025</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12,752,467</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118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r>
      <w:tr>
        <w:trPr>
          <w:trHeight w:val="197"/>
        </w:trPr>
        <w:tc>
          <w:tcPr>
            <w:tcW w:w="20" w:type="dxa"/>
            <w:vAlign w:val="bottom"/>
          </w:tcPr>
          <w:p>
            <w:pPr>
              <w:spacing w:after="0"/>
              <w:rPr>
                <w:sz w:val="17"/>
                <w:szCs w:val="17"/>
                <w:color w:val="auto"/>
              </w:rPr>
            </w:pPr>
          </w:p>
        </w:tc>
        <w:tc>
          <w:tcPr>
            <w:tcW w:w="4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Stock options exercisable at December 31, 2025</w:t>
            </w:r>
          </w:p>
        </w:tc>
        <w:tc>
          <w:tcPr>
            <w:tcW w:w="166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7,341,824</w:t>
            </w:r>
          </w:p>
        </w:tc>
        <w:tc>
          <w:tcPr>
            <w:tcW w:w="2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5.91</w:t>
            </w:r>
          </w:p>
        </w:tc>
        <w:tc>
          <w:tcPr>
            <w:tcW w:w="118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5.13</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-753745</wp:posOffset>
            </wp:positionV>
            <wp:extent cx="857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-187960</wp:posOffset>
            </wp:positionV>
            <wp:extent cx="857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-170815</wp:posOffset>
            </wp:positionV>
            <wp:extent cx="857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1" w:lineRule="exact"/>
        <w:rPr>
          <w:sz w:val="20"/>
          <w:szCs w:val="20"/>
          <w:color w:val="auto"/>
        </w:rPr>
      </w:pPr>
    </w:p>
    <w:p>
      <w:pPr>
        <w:jc w:val="both"/>
        <w:ind w:right="460" w:firstLine="582"/>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exercisable but unexercised in-the-money stock options at December 31, 2025 was zero based on a weighted average exercise price of $5.91 per share. The aggregate intrinsic value of options is calculated as the difference of the market close price of $0.31 on December 31, 2025, and the weighted average exercise price of $5.91, with a weighted average remaining contractual term of 5.13 years.</w:t>
      </w:r>
    </w:p>
    <w:p>
      <w:pPr>
        <w:spacing w:after="0" w:line="135" w:lineRule="exact"/>
        <w:rPr>
          <w:sz w:val="20"/>
          <w:szCs w:val="20"/>
          <w:color w:val="auto"/>
        </w:rPr>
      </w:pPr>
    </w:p>
    <w:p>
      <w:pPr>
        <w:jc w:val="both"/>
        <w:ind w:right="460" w:firstLine="582"/>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exercisable but unexercised in-the-money stock options at December 31, 2024 was zero based on a weighted average exercise price of $9.12 per share. The aggregate intrinsic value of options is calculated as the difference of the market close price of $1.09 on December 31, 2024, and the weighted average exercise price of $9.12, with a weighted average remaining contractual term of 5.46 years.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Stock-based compensation for the years ended December 31, 2025 and 2024 was included in the consolidated statements of operations as follows:</w:t>
      </w:r>
    </w:p>
    <w:p>
      <w:pPr>
        <w:spacing w:after="0" w:line="221"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3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r>
      <w:tr>
        <w:trPr>
          <w:trHeight w:val="21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8"/>
              </w:rPr>
              <w:t>2,827</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220" w:type="dxa"/>
            <w:vAlign w:val="bottom"/>
            <w:shd w:val="clear" w:color="auto" w:fill="CFF0FC"/>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8"/>
              </w:rPr>
              <w:t>1,917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20" w:type="dxa"/>
            <w:vAlign w:val="bottom"/>
          </w:tcPr>
          <w:p>
            <w:pPr>
              <w:spacing w:after="0"/>
              <w:rPr>
                <w:sz w:val="18"/>
                <w:szCs w:val="18"/>
                <w:color w:val="auto"/>
              </w:rPr>
            </w:pPr>
          </w:p>
        </w:tc>
      </w:tr>
      <w:tr>
        <w:trPr>
          <w:trHeight w:val="230"/>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8"/>
              </w:rPr>
              <w:t>4,744</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220" w:type="dxa"/>
            <w:vAlign w:val="bottom"/>
            <w:shd w:val="clear" w:color="auto" w:fill="CFF0FC"/>
          </w:tcPr>
          <w:p>
            <w:pPr>
              <w:spacing w:after="0"/>
              <w:rPr>
                <w:sz w:val="19"/>
                <w:szCs w:val="19"/>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431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431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431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431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40" w:lineRule="exact"/>
        <w:rPr>
          <w:sz w:val="20"/>
          <w:szCs w:val="20"/>
          <w:color w:val="auto"/>
        </w:rPr>
      </w:pPr>
    </w:p>
    <w:p>
      <w:pPr>
        <w:ind w:firstLine="582"/>
        <w:spacing w:after="0" w:line="266" w:lineRule="auto"/>
        <w:rPr>
          <w:sz w:val="20"/>
          <w:szCs w:val="20"/>
          <w:color w:val="auto"/>
        </w:rPr>
      </w:pPr>
      <w:r>
        <w:rPr>
          <w:rFonts w:ascii="Times New Roman" w:cs="Times New Roman" w:eastAsia="Times New Roman" w:hAnsi="Times New Roman"/>
          <w:sz w:val="18"/>
          <w:szCs w:val="18"/>
          <w:color w:val="auto"/>
        </w:rPr>
        <w:t>At December 31, 2025, total unrecognized stock-based compensation was $3.1 million, which is expected to be recognized as an operating expense in the Company’s consolidated statements of operations through July 2028. The weighted average remaining recognition period of unrecognized stock-based compensation was 2.59 years at December 31, 2025.</w:t>
      </w:r>
    </w:p>
    <w:p>
      <w:pPr>
        <w:spacing w:after="0" w:line="243"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stock options to purchase 5.0 million shares of common stock with a weighted average grant date fair value of $0.62 per share. During the year ended December 31, 2024, the Company granted stock options to purchase 4.4 million shares of common stock with a weighted average grant date fair value of $0.98 per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30" w:name="page131"/>
    <w:bookmarkEnd w:id="130"/>
    <w:p>
      <w:pPr>
        <w:ind w:left="460" w:hanging="452"/>
        <w:spacing w:after="0"/>
        <w:tabs>
          <w:tab w:leader="none" w:pos="4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Revenue</w:t>
      </w:r>
    </w:p>
    <w:p>
      <w:pPr>
        <w:spacing w:after="0" w:line="189" w:lineRule="exact"/>
        <w:rPr>
          <w:sz w:val="20"/>
          <w:szCs w:val="20"/>
          <w:color w:val="auto"/>
        </w:rPr>
      </w:pPr>
    </w:p>
    <w:p>
      <w:pPr>
        <w:ind w:firstLine="593"/>
        <w:spacing w:after="0" w:line="254" w:lineRule="auto"/>
        <w:rPr>
          <w:sz w:val="20"/>
          <w:szCs w:val="20"/>
          <w:color w:val="auto"/>
        </w:rPr>
      </w:pPr>
      <w:r>
        <w:rPr>
          <w:rFonts w:ascii="Times New Roman" w:cs="Times New Roman" w:eastAsia="Times New Roman" w:hAnsi="Times New Roman"/>
          <w:sz w:val="18"/>
          <w:szCs w:val="18"/>
          <w:color w:val="auto"/>
        </w:rPr>
        <w:t>The Company recognizes collaboration revenue under certain of the Company’s license or collaboration agreements that are within the scope of ASC 606. The Company’s contracts with customers typically include promises related to licenses to intellectual property and research and development services. If the license to the Company’s intellectual property is determined to be distinct from the other performance obligations identified in the arrangement, the Company recognizes revenue from non-refundable, up-front fees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Company’s contracts may include options to acquire additional goods and/or services.</w:t>
      </w:r>
    </w:p>
    <w:p>
      <w:pPr>
        <w:spacing w:after="0" w:line="165" w:lineRule="exact"/>
        <w:rPr>
          <w:sz w:val="20"/>
          <w:szCs w:val="20"/>
          <w:color w:val="auto"/>
        </w:rPr>
      </w:pPr>
    </w:p>
    <w:p>
      <w:pPr>
        <w:ind w:right="40" w:firstLine="593"/>
        <w:spacing w:after="0" w:line="253" w:lineRule="auto"/>
        <w:rPr>
          <w:sz w:val="20"/>
          <w:szCs w:val="20"/>
          <w:color w:val="auto"/>
        </w:rPr>
      </w:pPr>
      <w:r>
        <w:rPr>
          <w:rFonts w:ascii="Times New Roman" w:cs="Times New Roman" w:eastAsia="Times New Roman" w:hAnsi="Times New Roman"/>
          <w:sz w:val="18"/>
          <w:szCs w:val="18"/>
          <w:color w:val="auto"/>
        </w:rPr>
        <w:t>The terms of the Company’s arrangements with customers typically include the payment of one or more of the following: (i) non-refundable, up-front payment, and pass through costs related to research activities, (ii) development, regulatory and commercial milestone payments, (iii) future options and (iv) royalties on net sales of licensed products. Accordingly, the transaction price is generally comprised of a fixed fee due at contract inception and variable consideration in the form of pass through costs and milestone payments due upon the achievement of specified events and tiered royalties earned when customers recognize net sales of licensed products. The Company measures the transaction price based on the amount of consideration to which it expects to be entitled in exchange for transferring the promised goods and/or services to the customer. The Company utilizes the “expected value method” method to estimate the amount of variable consideration, to predict the amount of consideration to which it will be entitled for its one open contract.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Milestone payments that are not within the control of the Company or the licensee, such as those dependent upon receipt of regulatory approval, are not considered to be probable of achievement until the triggering event occurs. At the end of each reporting period, the Company reevaluates the probability of achievement of each milestone and any related constraint, and, if necessary, adjusts its estimate of the overall transaction price. Any such adjustments are recorded on a cumulative catch-up basis, which would affect revenue and net loss in the period of adjustment.</w:t>
      </w:r>
    </w:p>
    <w:p>
      <w:pPr>
        <w:spacing w:after="0" w:line="147" w:lineRule="exact"/>
        <w:rPr>
          <w:sz w:val="20"/>
          <w:szCs w:val="20"/>
          <w:color w:val="auto"/>
        </w:rPr>
      </w:pPr>
    </w:p>
    <w:p>
      <w:pPr>
        <w:ind w:right="20" w:firstLine="593"/>
        <w:spacing w:after="0" w:line="258"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upon the achievement of a certain level of product sales, the Company recognizes revenue upon the later of: (i) when the related sales occur or (ii) when the performance obligation to which some or all of the payment has been allocated has been satisfied (or partially satisfied). To date, the Company has not recognized any development, regulatory or commercial milestones or royalty revenue resulting from any of its collaboration arrangements. Consideration that would be received for optional goods and/or services is excluded from the transaction price at contract inception.</w:t>
      </w:r>
    </w:p>
    <w:p>
      <w:pPr>
        <w:spacing w:after="0" w:line="143" w:lineRule="exact"/>
        <w:rPr>
          <w:sz w:val="20"/>
          <w:szCs w:val="20"/>
          <w:color w:val="auto"/>
        </w:rPr>
      </w:pPr>
    </w:p>
    <w:p>
      <w:pPr>
        <w:ind w:firstLine="593"/>
        <w:spacing w:after="0" w:line="254" w:lineRule="auto"/>
        <w:rPr>
          <w:sz w:val="20"/>
          <w:szCs w:val="20"/>
          <w:color w:val="auto"/>
        </w:rPr>
      </w:pPr>
      <w:r>
        <w:rPr>
          <w:rFonts w:ascii="Times New Roman" w:cs="Times New Roman" w:eastAsia="Times New Roman" w:hAnsi="Times New Roman"/>
          <w:sz w:val="18"/>
          <w:szCs w:val="18"/>
          <w:color w:val="auto"/>
        </w:rPr>
        <w:t>The Company allocates the transaction price to each performance obligation identified in the contract on a relative standalone selling price basis, when applicable. However, certain components of variable consideration are allocated specifically to one or more particular performance obligations in a contract to the extent both of the following criteria are met: (i) the terms of the payment relate specifically to the efforts to satisfy the performance obligation or transfer the distinct good or service and (ii) allocating the variable amount of consideration entirely to the performance obligation or the distinct good or service is consistent with the allocation objective of the standard whereby the amount allocated depicts the amount of consideration to which the entity expects to be entitled in exchange for transferring the promised goods or services. The Company develops assumptions that require judgment to determine the standalone selling price for each performance obligation identified in each contract. The key assumptions utilized in determining the standalone selling price for each performance obligation may include forecasted revenues, development timelines, estimated research and development costs, discount rates, likelihood of exercise and probabilities of technical and regulatory success.</w:t>
      </w:r>
    </w:p>
    <w:p>
      <w:pPr>
        <w:spacing w:after="0" w:line="161" w:lineRule="exact"/>
        <w:rPr>
          <w:sz w:val="20"/>
          <w:szCs w:val="20"/>
          <w:color w:val="auto"/>
        </w:rPr>
      </w:pPr>
    </w:p>
    <w:p>
      <w:pPr>
        <w:ind w:right="20" w:firstLine="593"/>
        <w:spacing w:after="0" w:line="254" w:lineRule="auto"/>
        <w:rPr>
          <w:sz w:val="20"/>
          <w:szCs w:val="20"/>
          <w:color w:val="auto"/>
        </w:rPr>
      </w:pPr>
      <w:r>
        <w:rPr>
          <w:rFonts w:ascii="Times New Roman" w:cs="Times New Roman" w:eastAsia="Times New Roman" w:hAnsi="Times New Roman"/>
          <w:sz w:val="18"/>
          <w:szCs w:val="18"/>
          <w:color w:val="auto"/>
        </w:rPr>
        <w:t>Revenue is recognized based on the amount of the transaction price that is allocated to each respective performance obligation when or as the performance obligation is satisfied by transferring a promised good and/or service to the customer. For performance obligations that are satisfied over time, the Company recognizes revenue by measuring the progress toward complete satisfaction of the performance obligation using a single method of measuring progress which depicts the performance in transferring control of the associated goods and/or services to the customer. The Company uses input methods to measure progress toward the complete satisfaction of performance obligations satisfied over time. The Company evaluates the measure of progress each reporting period and, if necessary, adjusts the measure of performance and related revenue recognition. Any such adjustments are recorded on a cumulative catch-up basis, which would affect revenue and net loss in the period of adjustment. The Company measures progress toward satisfaction of the performance obligation over time as effort is expended.</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Collaboration revenue for the years ended December 31, 2025 and 2024 was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5" w:right="359" w:bottom="1440" w:gutter="0" w:footer="0" w:header="0"/>
        </w:sectPr>
      </w:pPr>
    </w:p>
    <w:bookmarkStart w:id="131" w:name="page132"/>
    <w:bookmarkEnd w:id="131"/>
    <w:tbl>
      <w:tblPr>
        <w:tblLayout w:type="fixed"/>
        <w:tblInd w:w="92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r>
      <w:tr>
        <w:trPr>
          <w:trHeight w:val="21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7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86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8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3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18,914</w:t>
            </w:r>
          </w:p>
        </w:tc>
        <w:tc>
          <w:tcPr>
            <w:tcW w:w="2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4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27,466</w:t>
            </w:r>
          </w:p>
        </w:tc>
        <w:tc>
          <w:tcPr>
            <w:tcW w:w="86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80" w:type="dxa"/>
            <w:vAlign w:val="bottom"/>
            <w:shd w:val="clear" w:color="auto" w:fill="CFF0FC"/>
          </w:tcPr>
          <w:p>
            <w:pPr>
              <w:spacing w:after="0"/>
              <w:rPr>
                <w:sz w:val="19"/>
                <w:szCs w:val="19"/>
                <w:color w:val="auto"/>
              </w:rPr>
            </w:pPr>
          </w:p>
        </w:tc>
      </w:tr>
      <w:tr>
        <w:trPr>
          <w:trHeight w:val="20"/>
        </w:trPr>
        <w:tc>
          <w:tcPr>
            <w:tcW w:w="41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LG Chem</w:t>
      </w:r>
    </w:p>
    <w:p>
      <w:pPr>
        <w:spacing w:after="0" w:line="189" w:lineRule="exact"/>
        <w:rPr>
          <w:sz w:val="20"/>
          <w:szCs w:val="20"/>
          <w:color w:val="auto"/>
        </w:rPr>
      </w:pPr>
    </w:p>
    <w:p>
      <w:pPr>
        <w:ind w:right="120" w:firstLine="584"/>
        <w:spacing w:after="0" w:line="258" w:lineRule="auto"/>
        <w:rPr>
          <w:sz w:val="20"/>
          <w:szCs w:val="20"/>
          <w:color w:val="auto"/>
        </w:rPr>
      </w:pPr>
      <w:r>
        <w:rPr>
          <w:rFonts w:ascii="Times New Roman" w:cs="Times New Roman" w:eastAsia="Times New Roman" w:hAnsi="Times New Roman"/>
          <w:sz w:val="18"/>
          <w:szCs w:val="18"/>
          <w:color w:val="auto"/>
        </w:rPr>
        <w:t>On November 6, 2018, the Company entered into a Collaboration, License and Option Agreement (as amended from time to time, the “LG Chem Collaboration Agreement”) with LG Chem Ltd. (“LG Chem”) related to the development of the Company’s CUE-101 and CUE-102 Immuno-STATs focused in the field of oncology. Pursuant to the LG Chem Collaboration Agreement, the Company granted LG Chem an exclusive license to develop, manufacture and commercialize CUE-101, as well as Immuno-STATs that target T cells against two additional cancer antigens, in Australia and certain Asian countries (collectively, the “LG Chem Territory”).</w:t>
      </w:r>
    </w:p>
    <w:p>
      <w:pPr>
        <w:spacing w:after="0" w:line="372" w:lineRule="exact"/>
        <w:rPr>
          <w:sz w:val="20"/>
          <w:szCs w:val="20"/>
          <w:color w:val="auto"/>
        </w:rPr>
      </w:pPr>
    </w:p>
    <w:p>
      <w:pPr>
        <w:ind w:firstLine="584"/>
        <w:spacing w:after="0" w:line="254" w:lineRule="auto"/>
        <w:rPr>
          <w:sz w:val="20"/>
          <w:szCs w:val="20"/>
          <w:color w:val="auto"/>
        </w:rPr>
      </w:pPr>
      <w:r>
        <w:rPr>
          <w:rFonts w:ascii="Times New Roman" w:cs="Times New Roman" w:eastAsia="Times New Roman" w:hAnsi="Times New Roman"/>
          <w:sz w:val="18"/>
          <w:szCs w:val="18"/>
          <w:color w:val="auto"/>
        </w:rPr>
        <w:t>Aside from the $6.8 million in milestone payments earned to date, the Company does not believe that any variable consideration should be included in the transaction price as of December 31, 2025. Such assessment considered the application of the constraint to ensure that estimates of variable consideration would be included in the transaction price only to the extent the Company had a high degree of confidence that revenue would not be reversed in a subsequent reporting period. The Company will re-evaluate the transaction price, including the estimated variable consideration included in the transaction price and all constrained amounts, in each reporting period and as other changes in circumstances occur. For the years ended December 31, 2025 and 2024, the Company recognized revenue of zero and $0.1 million, respectively, related to the LG Chem Collaboration Agreement. The Company did not record short or long-term research and development liabilities on its consolidated balance sheets dated December 31, 2025 and December 31, 2024, as the performance obligation was met and completed. Research and development cost sharing provisions under the agreement expired on March 31, 2022, and thereafter, the Company recognized revenue on intellectual patent filing passthrough costs in the LG Chem Territory.</w:t>
      </w:r>
    </w:p>
    <w:p>
      <w:pPr>
        <w:spacing w:after="0" w:line="18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March 11, 2025 the Company and LG Chem entered into the Ninth Amendment to the LG Chem Collaboration Agreement. As of the date of the amendment, the Company regained its rights to the CUE-101 program which had been licensed to LG Chem, and LG Chem terminated all of its rights to the same program. Pursuant to the Ninth Amendment, the Company agreed to make future payments to LG Chem, if and when, one or more potential scenarios related to the CUE-101 program occur up to a predetermined aggregate amount. LG Chem continues to maintain its interest and rights in the CUE-102 program, targeting WT1 expressing cancers, pursuant to the LG Chem Collaboration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Option Agreement with Ono</w:t>
      </w:r>
    </w:p>
    <w:p>
      <w:pPr>
        <w:spacing w:after="0" w:line="189" w:lineRule="exact"/>
        <w:rPr>
          <w:sz w:val="20"/>
          <w:szCs w:val="20"/>
          <w:color w:val="auto"/>
        </w:rPr>
      </w:pPr>
    </w:p>
    <w:p>
      <w:pPr>
        <w:ind w:right="120" w:firstLine="584"/>
        <w:spacing w:after="0" w:line="258" w:lineRule="auto"/>
        <w:rPr>
          <w:sz w:val="20"/>
          <w:szCs w:val="20"/>
          <w:color w:val="auto"/>
        </w:rPr>
      </w:pPr>
      <w:r>
        <w:rPr>
          <w:rFonts w:ascii="Times New Roman" w:cs="Times New Roman" w:eastAsia="Times New Roman" w:hAnsi="Times New Roman"/>
          <w:sz w:val="18"/>
          <w:szCs w:val="18"/>
          <w:color w:val="auto"/>
        </w:rPr>
        <w:t>On February 22, 2023, the Company entered into a strategic collaboration agreement (the "Ono Collaboration and Option Agreement") with Ono Pharmaceutical Co., Ltd. ("Ono") to further develop CUE-401. In March 2025, the Company and Ono agreed to terminate the Ono Collaboration and Option Agreement effective as of March 6, 2025. At such time, the Ono Collaboration and Option Agreement had no further force or effect with the exception of certain customary provisions which are intended to survive termination and expiration of the Ono Collaboration and Option Agreement. The Company retained all rights to CUE-401.</w:t>
      </w:r>
    </w:p>
    <w:p>
      <w:pPr>
        <w:spacing w:after="0" w:line="156" w:lineRule="exact"/>
        <w:rPr>
          <w:sz w:val="20"/>
          <w:szCs w:val="20"/>
          <w:color w:val="auto"/>
        </w:rPr>
      </w:pPr>
    </w:p>
    <w:p>
      <w:pPr>
        <w:ind w:right="20" w:firstLine="584"/>
        <w:spacing w:after="0" w:line="255" w:lineRule="auto"/>
        <w:rPr>
          <w:sz w:val="20"/>
          <w:szCs w:val="20"/>
          <w:color w:val="auto"/>
        </w:rPr>
      </w:pPr>
      <w:r>
        <w:rPr>
          <w:rFonts w:ascii="Times New Roman" w:cs="Times New Roman" w:eastAsia="Times New Roman" w:hAnsi="Times New Roman"/>
          <w:sz w:val="18"/>
          <w:szCs w:val="18"/>
          <w:color w:val="auto"/>
        </w:rPr>
        <w:t>Under the terms of the Ono Collaboration and Option Agreement, Ono paid the Company an upfront payment and agreed to fully fund all research and development activities related to CUE-401 through a specified option period of 24 months (the “Ono Research Term”). Per the agreement, as consideration for the research and development activities performed by the Company, Ono (i) made a one-time, non-refundable, non-creditable upfront payment of $3.0 million to the Company in March 2023 and (ii) agreed to reimburse the Company for all costs incurred in conducting research, including</w:t>
      </w:r>
    </w:p>
    <w:p>
      <w:pPr>
        <w:spacing w:after="0" w:line="3" w:lineRule="exact"/>
        <w:rPr>
          <w:sz w:val="20"/>
          <w:szCs w:val="20"/>
          <w:color w:val="auto"/>
        </w:rPr>
      </w:pPr>
    </w:p>
    <w:p>
      <w:pPr>
        <w:ind w:right="240" w:firstLine="8"/>
        <w:spacing w:after="0" w:line="260" w:lineRule="auto"/>
        <w:tabs>
          <w:tab w:leader="none" w:pos="2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through costs from third party contractors and (b) full-time employee salaries capped at $2.1 million in the first 18 months of the Ono Research Term. Subsequently, the Company and Ono agreed to increase this cap for full-time employee salaries to $3.1 million.</w:t>
      </w:r>
    </w:p>
    <w:p>
      <w:pPr>
        <w:spacing w:after="0" w:line="18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As of December 31, 2025, both Ono and the Company have satisfied all of their performance obligations and made all outstanding payments required under the agreement. For the years ended December 31, 2025 and 2024, the Company recognized revenue of $0.4 million and $9.2 million, respectively, related to the Ono Collaboration and Option Agreement. The Company did not record short or long-term research and development liabilities on its consolidated balance sheet dated December 31, 2025, as the performance obligation has been met and completed. For the year ended December 31, 2024, the Company recorded short-term research and development liabilities on its consolidated balance sheets of $0.1 million.</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0" w:right="399" w:bottom="1440" w:gutter="0" w:footer="0" w:header="0"/>
        </w:sectPr>
      </w:pPr>
    </w:p>
    <w:bookmarkStart w:id="132" w:name="page133"/>
    <w:bookmarkEnd w:id="132"/>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 Collaboration and License Agreement</w:t>
      </w:r>
    </w:p>
    <w:p>
      <w:pPr>
        <w:spacing w:after="0" w:line="189" w:lineRule="exact"/>
        <w:rPr>
          <w:sz w:val="20"/>
          <w:szCs w:val="20"/>
          <w:color w:val="auto"/>
        </w:rPr>
      </w:pPr>
    </w:p>
    <w:p>
      <w:pPr>
        <w:ind w:right="260" w:firstLine="315"/>
        <w:spacing w:after="0" w:line="282" w:lineRule="auto"/>
        <w:rPr>
          <w:sz w:val="20"/>
          <w:szCs w:val="20"/>
          <w:color w:val="auto"/>
        </w:rPr>
      </w:pPr>
      <w:r>
        <w:rPr>
          <w:rFonts w:ascii="Times New Roman" w:cs="Times New Roman" w:eastAsia="Times New Roman" w:hAnsi="Times New Roman"/>
          <w:sz w:val="18"/>
          <w:szCs w:val="18"/>
          <w:color w:val="auto"/>
        </w:rPr>
        <w:t>On April 10, 2025, the Company entered into the BI Collaboration and License Agreement to research, develop and commercialize differentiated B cell depletion molecules, including CUE-501.</w:t>
      </w:r>
    </w:p>
    <w:p>
      <w:pPr>
        <w:spacing w:after="0" w:line="135" w:lineRule="exact"/>
        <w:rPr>
          <w:sz w:val="20"/>
          <w:szCs w:val="20"/>
          <w:color w:val="auto"/>
        </w:rPr>
      </w:pPr>
    </w:p>
    <w:p>
      <w:pPr>
        <w:ind w:right="20" w:firstLine="315"/>
        <w:spacing w:after="0" w:line="256" w:lineRule="auto"/>
        <w:rPr>
          <w:sz w:val="20"/>
          <w:szCs w:val="20"/>
          <w:color w:val="auto"/>
        </w:rPr>
      </w:pPr>
      <w:r>
        <w:rPr>
          <w:rFonts w:ascii="Times New Roman" w:cs="Times New Roman" w:eastAsia="Times New Roman" w:hAnsi="Times New Roman"/>
          <w:sz w:val="18"/>
          <w:szCs w:val="18"/>
          <w:color w:val="auto"/>
        </w:rPr>
        <w:t>Under the terms of the BI Collaboration and License Agreement, the Company and BI will conduct collaborative research focused on CUE-501 during the BI Research Term. In addition to, or instead of, CUE-501, BI may elect, at its sole discretion, to include additional or alternative compounds targeted at B cell depletion. BI will have an exclusive, royalty-bearing, worldwide, sublicensable license, under the Company's applicable patents and know-how, to develop, manufacture and commercialize the BI Licensed Products, for all uses, and BI shall be responsible for all further research, preclinical and clinical development, manufacturing, regulatory approvals, and commercialization of BI Licensed Products at its expense. During the BI Research Term, the Company is prohibited from developing or commercializing any molecule for applications in B cell depletion.</w:t>
      </w:r>
    </w:p>
    <w:p>
      <w:pPr>
        <w:spacing w:after="0" w:line="18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terms of the BI Collaboration and License Agreement, the Company received an upfront payment of $10.1 million in cash in the second quarter of 2025, which is net of $1.9 million of German withholding taxes that the Company expects to be refunded in 2026. The withholding has been recorded as a foreign withholding tax receivable at December 31, 2025 on the Company's consolidated balance sheet. The Company will also be eligible to receive up to an aggregate of approximately $345.0 million in success-based research, development and commercial milestone payments, beginning with two preclinical development milestones, as well as royalty payments on net sales. The royalty payments will be subject to reduction due to patent expiration, payments made under certain licenses for third-party intellectual property and generic competition. BI has agreed to reimburse the Company for agreed upon costs incurred in conducting research during the BI Research Term, including certain pass through costs from third party contractors and full-time employee salaries.</w:t>
      </w:r>
    </w:p>
    <w:p>
      <w:pPr>
        <w:spacing w:after="0" w:line="19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BI Collaboration and License Agreement will continue, on a product-by-product and country-by-country basis, until the expiration of the applicable royalty term, unless earlier terminated. BI has the right to terminate the BI Collaboration and License Agreement for any reason after a specified notice period. Each party has the right to terminate the BI Collaboration and License Agreement on account of the other party’s bankruptcy or material, uncured breach. In connection with the Company's entry into the BI Collaboration and License Agreement, the Company entered into an amendment to the Company's Einstein License whereby Einstein consented to the Company's entry into the BI Collaboration and License Agreement and granted the Company the right to sublicense to BI. In addition, the Company and Einstein agreed to amend specified upstream payment obligations that may be owed to Einstein by the Company, solely in connection with the sublicense to BI.</w:t>
      </w:r>
    </w:p>
    <w:p>
      <w:pPr>
        <w:spacing w:after="0" w:line="148" w:lineRule="exact"/>
        <w:rPr>
          <w:sz w:val="20"/>
          <w:szCs w:val="20"/>
          <w:color w:val="auto"/>
        </w:rPr>
      </w:pPr>
    </w:p>
    <w:p>
      <w:pPr>
        <w:ind w:right="60" w:firstLine="629"/>
        <w:spacing w:after="0" w:line="256" w:lineRule="auto"/>
        <w:rPr>
          <w:sz w:val="20"/>
          <w:szCs w:val="20"/>
          <w:color w:val="auto"/>
        </w:rPr>
      </w:pPr>
      <w:r>
        <w:rPr>
          <w:rFonts w:ascii="Times New Roman" w:cs="Times New Roman" w:eastAsia="Times New Roman" w:hAnsi="Times New Roman"/>
          <w:sz w:val="18"/>
          <w:szCs w:val="18"/>
          <w:color w:val="auto"/>
        </w:rPr>
        <w:t>The Company determined that the research activities and the exclusive license granted under the BI Collaboration and License Agreement is considered as a single performance obligation, and therefore, the transaction price was allocated entirely to the single performance obligation. The Company recognizes revenue related to the single performance obligation over time as the underlying services are performed and/or external costs are incurred during the research term. For the year ended December 31, 2025, the Company recognized revenue of $8.1 million related to the BI Collaboration and License Agreement. The Company recorded short-term research and development liabilities of $5.3 million and accounts receivable of $0.5 million on its consolidated balance sheet as of December 31, 2025.</w:t>
      </w:r>
    </w:p>
    <w:p>
      <w:pPr>
        <w:spacing w:after="0" w:line="14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 considered the capitalization of contract costs under the guidance in ASC 340-40, Other Assets and Deferred Costs: Contracts with Customers, as it relates to the BI Collaboration and License Agreement. The Company capitalized license expenses of approximately $1.1 million as of December 31, 2025, paid to Einstein pursuant to the Einstein License which requires the Company to pay a percentage of sublicenses related to the Company’s patent rights for components of its core technology that is licensed from Einstein. This amount is comprised of approximately $1.1 million of capitalized license expenses related to the up-front payment received from BI in May 2025, net of accumulated amortization of approximately $0.6 million. As of December 31, 2025, $0.5 million was included in prepaid expenses and other short-term assets related to the BI Collaboration and License Agreement. The Company also accrued $0.2 million to be paid when the German withholding tax refund is received in other current payable on its consolidated balance sheet as of December 31,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ImmunoScape Collaboration and License Agreement</w:t>
      </w:r>
    </w:p>
    <w:p>
      <w:pPr>
        <w:spacing w:after="0" w:line="18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November 6, 2025, IMSCP exercised its option to obtain licenses to research, develop and commercialize molecules from the Company's CUE-100 series, including CUE-101 and CUE-102, subject to certain exclusions, for all oncology indications pursuant to the IMSCP Collaboration and License Agreement, effective November 6, 2025, between the Company and IMSCP. The licenses provided pursuant to the IMSCP Collaboration and License Agreement include a co-exclusive development license for five years or, if longer, for so long as IMSCP has a specified number of CUE-100 series molecules under active development and, pursuant to which, the Company retains non-exclusive research rights to support its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255" w:lineRule="auto"/>
        <w:rPr>
          <w:sz w:val="20"/>
          <w:szCs w:val="20"/>
          <w:color w:val="auto"/>
        </w:rPr>
      </w:pPr>
      <w:r>
        <w:rPr>
          <w:rFonts w:ascii="Times New Roman" w:cs="Times New Roman" w:eastAsia="Times New Roman" w:hAnsi="Times New Roman"/>
          <w:sz w:val="18"/>
          <w:szCs w:val="18"/>
          <w:color w:val="auto"/>
        </w:rPr>
        <w:t>other programs. The Company also retained its rights to the CUE-100 series, including CUE-101 and CUE-102, for use in any manner other than as a component of a cell therapy product for 18 months past the effective date of the IMSCP Collaboration and License Agreement. The licenses include an exclusive commercial license to IMSCP for any CUE-100 series molecule that IMSCP advances to IND-enabling studies while the co-exclusive development license is in effect. The licensed series of molecules will be further developed and potentially commercialized by IMSCP. The Option was exercised pursuant to an Option Agreement between the Company and IMSCP, dated October 22, 2025. In connection with entry into the Option Agreement and IMSCP’s exercise of the Option, the Company received an aggregate of $9.5 million, net of withholding taxes, in the fourth quarter of 2025 and is entitled to receive an additional $5.0 million before the first anniversary of the effective date of the IMSCP Collaboration and License Agreement.</w:t>
      </w:r>
    </w:p>
    <w:p>
      <w:pPr>
        <w:spacing w:after="0" w:line="16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Pursuant to the IMSCP Collaboration and License Agreement, the Company (a) received equity of IMSCP equal to 40% of the issued and outstanding equity of IMSCP and is entitled to receive additional equity, in the form of warrants, upon certain dilution events in the future, (b) received time-based payments of $10.0 million in the fourth quarter of 2025, (c) is entitled to receive an additional time-based payment of $5.0 million before the first anniversary of the effective date of the IMSCP Collaboration and License Agreement, and (d) is entitled to receive high single-digit royalties on global net sales and low- to mid-double digit royalties from sublicensing royalties and income. The IMSCP Collaboration and License Agreement includes customary termination provisions, including IMSCP’s ability to terminate the agreement in its entirety on 60 days’ advanced written notice to the Company.</w:t>
      </w:r>
    </w:p>
    <w:p>
      <w:pPr>
        <w:spacing w:after="0" w:line="148"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 accounted for the Option Agreement and IMSCP Collaboration and License Agreement as a combined contract. The transaction price includes the upfront payments of $15.0 million and the $3.9 million fair value of equity interest in IMSCP received. The Company concluded there is one combined performance obligation for the licenses as the Company does not have material performance obligations beyond the issuance of the licenses. The Company recognized revenue for the licenses at a point in time when the licenses were granted and there was a right to payment, the exclusive rights were transferred, and significant risks and rewards of ownership of the rights to use the licensed IP were transferred. The sales-based royalties resulting from sales made under the IMSCP Collaboration and License Agreement will only be included in the transaction price upon occurrence of the underlying sales in the future.</w:t>
      </w:r>
    </w:p>
    <w:p>
      <w:pPr>
        <w:spacing w:after="0" w:line="81" w:lineRule="exact"/>
        <w:rPr>
          <w:sz w:val="20"/>
          <w:szCs w:val="20"/>
          <w:color w:val="auto"/>
        </w:rPr>
      </w:pPr>
    </w:p>
    <w:p>
      <w:pPr>
        <w:ind w:right="600" w:firstLine="58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revenue of $18.9 million related to the IMSCP Collaboration and License Agreement. The Company recorded accounts receivable from IMSCP of $5.0 million on its consolidated balance sheet as of December 31, 2025.</w:t>
      </w:r>
    </w:p>
    <w:p>
      <w:pPr>
        <w:spacing w:after="0" w:line="121" w:lineRule="exact"/>
        <w:rPr>
          <w:sz w:val="20"/>
          <w:szCs w:val="20"/>
          <w:color w:val="auto"/>
        </w:rPr>
      </w:pPr>
    </w:p>
    <w:p>
      <w:pPr>
        <w:ind w:right="120" w:firstLine="584"/>
        <w:spacing w:after="0" w:line="266" w:lineRule="auto"/>
        <w:rPr>
          <w:sz w:val="20"/>
          <w:szCs w:val="20"/>
          <w:color w:val="auto"/>
        </w:rPr>
      </w:pPr>
      <w:r>
        <w:rPr>
          <w:rFonts w:ascii="Times New Roman" w:cs="Times New Roman" w:eastAsia="Times New Roman" w:hAnsi="Times New Roman"/>
          <w:sz w:val="18"/>
          <w:szCs w:val="18"/>
          <w:color w:val="auto"/>
        </w:rPr>
        <w:t>The Einstein License requires the Company to pay a percentage of sublicenses related to the Company’s patent rights for components of its core technology that is licensed from Einstein. The Company incurred $1.5 million of license expense during the year ended December 31, 2025 upon entering the IMSCP Collaboration and License Agreement.</w:t>
      </w:r>
    </w:p>
    <w:p>
      <w:pPr>
        <w:spacing w:after="0" w:line="388"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89" w:lineRule="exact"/>
        <w:rPr>
          <w:sz w:val="20"/>
          <w:szCs w:val="20"/>
          <w:color w:val="auto"/>
        </w:rPr>
      </w:pPr>
    </w:p>
    <w:p>
      <w:pPr>
        <w:jc w:val="both"/>
        <w:ind w:right="540" w:firstLine="582"/>
        <w:spacing w:after="0" w:line="266" w:lineRule="auto"/>
        <w:rPr>
          <w:sz w:val="20"/>
          <w:szCs w:val="20"/>
          <w:color w:val="auto"/>
        </w:rPr>
      </w:pPr>
      <w:r>
        <w:rPr>
          <w:rFonts w:ascii="Times New Roman" w:cs="Times New Roman" w:eastAsia="Times New Roman" w:hAnsi="Times New Roman"/>
          <w:sz w:val="18"/>
          <w:szCs w:val="18"/>
          <w:color w:val="auto"/>
        </w:rPr>
        <w:t>The Company has authorized a total of 10,000,000 shares of preferred stock, par value $0.001 per share, none of which were outstanding at December 31, 2025 and 2024. The Company’s Board of Directors has the authority to issue preferred stock and to determine the rights, preferences, privileges, and restrictions, including voting rights.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jc w:val="both"/>
        <w:ind w:right="480" w:firstLine="582"/>
        <w:spacing w:after="0" w:line="266" w:lineRule="auto"/>
        <w:rPr>
          <w:sz w:val="20"/>
          <w:szCs w:val="20"/>
          <w:color w:val="auto"/>
        </w:rPr>
      </w:pPr>
      <w:r>
        <w:rPr>
          <w:rFonts w:ascii="Times New Roman" w:cs="Times New Roman" w:eastAsia="Times New Roman" w:hAnsi="Times New Roman"/>
          <w:sz w:val="18"/>
          <w:szCs w:val="18"/>
          <w:color w:val="auto"/>
        </w:rPr>
        <w:t>The Company has authorized a total of 300,000,000 shares of common stock, par value $0.001 per share as of December 31, 2025, of which 96,621,218 shares were issued and outstanding. At December 31, 2024, the Company had authorized 200,000,000 shares of common stock, of which 61,819,101 were issued and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Information with respect to the warrants are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16"/>
        </w:trPr>
        <w:tc>
          <w:tcPr>
            <w:tcW w:w="5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Issued</w:t>
            </w:r>
          </w:p>
        </w:tc>
        <w:tc>
          <w:tcPr>
            <w:tcW w:w="1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Warrants Issued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Issued</w:t>
            </w:r>
          </w:p>
        </w:tc>
      </w:tr>
      <w:tr>
        <w:trPr>
          <w:trHeight w:val="238"/>
        </w:trPr>
        <w:tc>
          <w:tcPr>
            <w:tcW w:w="5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November 2022</w:t>
            </w:r>
          </w:p>
        </w:tc>
        <w:tc>
          <w:tcPr>
            <w:tcW w:w="100" w:type="dxa"/>
            <w:vAlign w:val="bottom"/>
          </w:tcPr>
          <w:p>
            <w:pPr>
              <w:spacing w:after="0"/>
              <w:rPr>
                <w:sz w:val="20"/>
                <w:szCs w:val="20"/>
                <w:color w:val="auto"/>
              </w:rPr>
            </w:pP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April 2025</w:t>
            </w:r>
          </w:p>
        </w:tc>
        <w:tc>
          <w:tcPr>
            <w:tcW w:w="100" w:type="dxa"/>
            <w:vAlign w:val="bottom"/>
          </w:tcPr>
          <w:p>
            <w:pPr>
              <w:spacing w:after="0"/>
              <w:rPr>
                <w:sz w:val="20"/>
                <w:szCs w:val="20"/>
                <w:color w:val="auto"/>
              </w:rPr>
            </w:pPr>
          </w:p>
        </w:tc>
        <w:tc>
          <w:tcPr>
            <w:tcW w:w="15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2025</w:t>
            </w: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common stock warrants at December 31, 2025</w:t>
            </w:r>
          </w:p>
        </w:tc>
        <w:tc>
          <w:tcPr>
            <w:tcW w:w="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9,188,406</w:t>
            </w:r>
          </w:p>
        </w:tc>
        <w:tc>
          <w:tcPr>
            <w:tcW w:w="10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6,249,999</w:t>
            </w:r>
          </w:p>
        </w:tc>
        <w:tc>
          <w:tcPr>
            <w:tcW w:w="1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20,535,711</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pre-funded warrants at December 31, 2025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12,435,599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11,469,216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23,214,286</w:t>
            </w:r>
          </w:p>
        </w:tc>
        <w:tc>
          <w:tcPr>
            <w:tcW w:w="100" w:type="dxa"/>
            <w:vAlign w:val="bottom"/>
          </w:tcPr>
          <w:p>
            <w:pPr>
              <w:spacing w:after="0"/>
              <w:rPr>
                <w:sz w:val="18"/>
                <w:szCs w:val="18"/>
                <w:color w:val="auto"/>
              </w:rPr>
            </w:pPr>
          </w:p>
        </w:tc>
      </w:tr>
      <w:tr>
        <w:trPr>
          <w:trHeight w:val="198"/>
        </w:trPr>
        <w:tc>
          <w:tcPr>
            <w:tcW w:w="5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exercise price of common stock warrants at</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4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5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0.500</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0.790</w:t>
            </w:r>
          </w:p>
        </w:tc>
        <w:tc>
          <w:tcPr>
            <w:tcW w:w="4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0.300</w:t>
            </w:r>
          </w:p>
        </w:tc>
        <w:tc>
          <w:tcPr>
            <w:tcW w:w="100" w:type="dxa"/>
            <w:vAlign w:val="bottom"/>
            <w:shd w:val="clear" w:color="auto" w:fill="CFF0FC"/>
          </w:tcPr>
          <w:p>
            <w:pPr>
              <w:spacing w:after="0"/>
              <w:rPr>
                <w:sz w:val="20"/>
                <w:szCs w:val="20"/>
                <w:color w:val="auto"/>
              </w:rPr>
            </w:pP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exercise price of pre-funded warrants at December</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31, 2025</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00" w:type="dxa"/>
            <w:vAlign w:val="bottom"/>
          </w:tcPr>
          <w:p>
            <w:pPr>
              <w:spacing w:after="0"/>
              <w:rPr>
                <w:sz w:val="20"/>
                <w:szCs w:val="20"/>
                <w:color w:val="auto"/>
              </w:rPr>
            </w:pPr>
          </w:p>
        </w:tc>
      </w:tr>
      <w:tr>
        <w:trPr>
          <w:trHeight w:val="198"/>
        </w:trPr>
        <w:tc>
          <w:tcPr>
            <w:tcW w:w="5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contract remaining life (in years) at December 31,</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358"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16" w:lineRule="exact"/>
        <w:rPr>
          <w:sz w:val="20"/>
          <w:szCs w:val="20"/>
          <w:color w:val="auto"/>
        </w:rPr>
      </w:pPr>
    </w:p>
    <w:p>
      <w:pPr>
        <w:ind w:right="60" w:firstLine="636"/>
        <w:spacing w:after="0" w:line="282" w:lineRule="auto"/>
        <w:rPr>
          <w:sz w:val="20"/>
          <w:szCs w:val="20"/>
          <w:color w:val="auto"/>
        </w:rPr>
      </w:pPr>
      <w:r>
        <w:rPr>
          <w:rFonts w:ascii="Times New Roman" w:cs="Times New Roman" w:eastAsia="Times New Roman" w:hAnsi="Times New Roman"/>
          <w:sz w:val="18"/>
          <w:szCs w:val="18"/>
          <w:color w:val="auto"/>
        </w:rPr>
        <w:t>The Company did not enter into any related party transactions during the years ended December 31, 2025 and 2024. Additionally, no related party balances existed as of December 31, 2025 and 2024.</w:t>
      </w:r>
    </w:p>
    <w:p>
      <w:pPr>
        <w:spacing w:after="0" w:line="117"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ind w:right="60" w:firstLine="582"/>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under the provision of ASC 740, Income Taxes. For the year ended December 31, 2025, the Company reported a tax provision of $0.5 million relating to foreign withholding taxes. The Company did not report a tax provision for the year ended December 31, 2024 due to historically incurred net operating losses.</w:t>
      </w:r>
    </w:p>
    <w:p>
      <w:pPr>
        <w:spacing w:after="0" w:line="135" w:lineRule="exact"/>
        <w:rPr>
          <w:sz w:val="20"/>
          <w:szCs w:val="20"/>
          <w:color w:val="auto"/>
        </w:rPr>
      </w:pPr>
    </w:p>
    <w:p>
      <w:pPr>
        <w:ind w:right="160" w:firstLine="582"/>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as of December 31, 2025 and 2024 are as follows:</w:t>
      </w:r>
    </w:p>
    <w:p>
      <w:pPr>
        <w:spacing w:after="0" w:line="172"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r>
      <w:tr>
        <w:trPr>
          <w:trHeight w:val="210"/>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2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60,647</w:t>
            </w:r>
          </w:p>
        </w:tc>
        <w:tc>
          <w:tcPr>
            <w:tcW w:w="6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58,121</w:t>
            </w:r>
          </w:p>
        </w:tc>
      </w:tr>
      <w:tr>
        <w:trPr>
          <w:trHeight w:val="216"/>
        </w:trPr>
        <w:tc>
          <w:tcPr>
            <w:tcW w:w="20" w:type="dxa"/>
            <w:vAlign w:val="bottom"/>
          </w:tcPr>
          <w:p>
            <w:pPr>
              <w:spacing w:after="0"/>
              <w:rPr>
                <w:sz w:val="18"/>
                <w:szCs w:val="18"/>
                <w:color w:val="auto"/>
              </w:rPr>
            </w:pPr>
          </w:p>
        </w:tc>
        <w:tc>
          <w:tcPr>
            <w:tcW w:w="3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other credits</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9,260</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8,272</w:t>
            </w:r>
          </w:p>
        </w:tc>
      </w:tr>
      <w:tr>
        <w:trPr>
          <w:trHeight w:val="216"/>
        </w:trPr>
        <w:tc>
          <w:tcPr>
            <w:tcW w:w="20" w:type="dxa"/>
            <w:vAlign w:val="bottom"/>
          </w:tcPr>
          <w:p>
            <w:pPr>
              <w:spacing w:after="0"/>
              <w:rPr>
                <w:sz w:val="18"/>
                <w:szCs w:val="18"/>
                <w:color w:val="auto"/>
              </w:rPr>
            </w:pPr>
          </w:p>
        </w:tc>
        <w:tc>
          <w:tcPr>
            <w:tcW w:w="3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R&amp;D capitalization</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19,759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20,764</w:t>
            </w:r>
          </w:p>
        </w:tc>
      </w:tr>
      <w:tr>
        <w:trPr>
          <w:trHeight w:val="216"/>
        </w:trPr>
        <w:tc>
          <w:tcPr>
            <w:tcW w:w="20" w:type="dxa"/>
            <w:vAlign w:val="bottom"/>
          </w:tcPr>
          <w:p>
            <w:pPr>
              <w:spacing w:after="0"/>
              <w:rPr>
                <w:sz w:val="18"/>
                <w:szCs w:val="18"/>
                <w:color w:val="auto"/>
              </w:rPr>
            </w:pPr>
          </w:p>
        </w:tc>
        <w:tc>
          <w:tcPr>
            <w:tcW w:w="3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5,058</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6,096</w:t>
            </w:r>
          </w:p>
        </w:tc>
      </w:tr>
      <w:tr>
        <w:trPr>
          <w:trHeight w:val="216"/>
        </w:trPr>
        <w:tc>
          <w:tcPr>
            <w:tcW w:w="20" w:type="dxa"/>
            <w:vAlign w:val="bottom"/>
          </w:tcPr>
          <w:p>
            <w:pPr>
              <w:spacing w:after="0"/>
              <w:rPr>
                <w:sz w:val="18"/>
                <w:szCs w:val="18"/>
                <w:color w:val="auto"/>
              </w:rPr>
            </w:pPr>
          </w:p>
        </w:tc>
        <w:tc>
          <w:tcPr>
            <w:tcW w:w="3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Reserves and accruals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1,681</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988</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10"/>
        </w:trPr>
        <w:tc>
          <w:tcPr>
            <w:tcW w:w="20" w:type="dxa"/>
            <w:vAlign w:val="bottom"/>
          </w:tcPr>
          <w:p>
            <w:pPr>
              <w:spacing w:after="0"/>
              <w:rPr>
                <w:sz w:val="18"/>
                <w:szCs w:val="18"/>
                <w:color w:val="auto"/>
              </w:rPr>
            </w:pPr>
          </w:p>
        </w:tc>
        <w:tc>
          <w:tcPr>
            <w:tcW w:w="3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96,822</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95,178</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(95,889)</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(93,965)</w:t>
            </w: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1,213</w:t>
            </w:r>
          </w:p>
        </w:tc>
      </w:tr>
      <w:tr>
        <w:trPr>
          <w:trHeight w:val="216"/>
        </w:trPr>
        <w:tc>
          <w:tcPr>
            <w:tcW w:w="2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49"/>
        </w:trPr>
        <w:tc>
          <w:tcPr>
            <w:tcW w:w="20" w:type="dxa"/>
            <w:vAlign w:val="bottom"/>
          </w:tcPr>
          <w:p>
            <w:pPr>
              <w:spacing w:after="0"/>
              <w:rPr>
                <w:sz w:val="21"/>
                <w:szCs w:val="21"/>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-873760</wp:posOffset>
            </wp:positionV>
            <wp:extent cx="1028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-591185</wp:posOffset>
            </wp:positionV>
            <wp:extent cx="1028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1028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1028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1028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ind w:right="120" w:firstLine="582"/>
        <w:spacing w:after="0" w:line="258" w:lineRule="auto"/>
        <w:rPr>
          <w:sz w:val="20"/>
          <w:szCs w:val="20"/>
          <w:color w:val="auto"/>
        </w:rPr>
      </w:pPr>
      <w:r>
        <w:rPr>
          <w:rFonts w:ascii="Times New Roman" w:cs="Times New Roman" w:eastAsia="Times New Roman" w:hAnsi="Times New Roman"/>
          <w:sz w:val="18"/>
          <w:szCs w:val="18"/>
          <w:color w:val="auto"/>
        </w:rPr>
        <w:t>In assessing the potential realization of deferred tax assets, management considers whether it is more likely than not that some portion or all of the deferred tax assets will be realized. The ultimate realization of deferred tax assets is dependent upon the Company attaining future taxable income during the periods in which those temporary differences become deductible. As of December 31, 2025, and 2024, management was unable to determine if it is more likely than not that the Company’s deferred tax assets will be realized and has therefore recorded a 100% valuation allowance against deferred tax assets at such dates.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35" w:name="page136"/>
    <w:bookmarkEnd w:id="135"/>
    <w:p>
      <w:pPr>
        <w:jc w:val="both"/>
        <w:ind w:right="320" w:firstLine="582"/>
        <w:spacing w:after="0" w:line="266" w:lineRule="auto"/>
        <w:rPr>
          <w:sz w:val="20"/>
          <w:szCs w:val="20"/>
          <w:color w:val="auto"/>
        </w:rPr>
      </w:pPr>
      <w:r>
        <w:rPr>
          <w:rFonts w:ascii="Times New Roman" w:cs="Times New Roman" w:eastAsia="Times New Roman" w:hAnsi="Times New Roman"/>
          <w:sz w:val="18"/>
          <w:szCs w:val="18"/>
          <w:color w:val="auto"/>
        </w:rPr>
        <w:t>No Federal tax provision has been provided for the years ended December 31, 2025 and 2024 due to the losses incurred during such periods. A reconciliation of the difference between the income tax rate computed by applying the U.S. Federal statutory rate and the effective tax rate for the years ended December 31, 2025 and 2024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gridSpan w:val="6"/>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1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38"/>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r>
      <w:tr>
        <w:trPr>
          <w:trHeight w:val="209"/>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Pretax loss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(26,102)</w:t>
            </w:r>
          </w:p>
        </w:tc>
        <w:tc>
          <w:tcPr>
            <w:tcW w:w="200" w:type="dxa"/>
            <w:vAlign w:val="bottom"/>
            <w:shd w:val="clear" w:color="auto" w:fill="CFF0FC"/>
          </w:tcPr>
          <w:p>
            <w:pPr>
              <w:spacing w:after="0"/>
              <w:rPr>
                <w:sz w:val="18"/>
                <w:szCs w:val="18"/>
                <w:color w:val="auto"/>
              </w:rPr>
            </w:pPr>
          </w:p>
        </w:tc>
        <w:tc>
          <w:tcPr>
            <w:tcW w:w="19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(40,674)</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(5,481)</w:t>
            </w: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(8,541)</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tax effects: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Singapore foreign withholding tax</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8"/>
                <w:szCs w:val="18"/>
                <w:color w:val="auto"/>
              </w:rPr>
            </w:pPr>
          </w:p>
        </w:tc>
        <w:tc>
          <w:tcPr>
            <w:tcW w:w="168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 R&amp;D credit</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(845)</w:t>
            </w: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(731)</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4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4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4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   $</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4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-170815</wp:posOffset>
            </wp:positionV>
            <wp:extent cx="1460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151" w:lineRule="exact"/>
        <w:rPr>
          <w:sz w:val="20"/>
          <w:szCs w:val="20"/>
          <w:color w:val="auto"/>
        </w:rPr>
      </w:pPr>
    </w:p>
    <w:p>
      <w:pPr>
        <w:ind w:right="40" w:firstLine="582"/>
        <w:spacing w:after="0" w:line="256" w:lineRule="auto"/>
        <w:rPr>
          <w:sz w:val="20"/>
          <w:szCs w:val="20"/>
          <w:color w:val="auto"/>
        </w:rPr>
      </w:pPr>
      <w:r>
        <w:rPr>
          <w:rFonts w:ascii="Times New Roman" w:cs="Times New Roman" w:eastAsia="Times New Roman" w:hAnsi="Times New Roman"/>
          <w:sz w:val="18"/>
          <w:szCs w:val="18"/>
          <w:color w:val="auto"/>
        </w:rPr>
        <w:t>The Company has applied the provisions of ASC 740, which clarifies the accounting for uncertainty in tax positions and requires the recognition of the impact of a tax position in the financial statements if that position is more likely than not of being sustained on a tax return, based on the technical merits of the position, upon examination by the relevant taxing authority. At December 31, 2025 and 2024, the Company had unrecognized tax benefits related to Federal and state research tax credits of $3.4 million and $3.1 million, respectively. The Company is subject to Federal and state income tax examinations by taxing authorities for all years since its incorporation in 2014 to the extent tax attributes from those years are utilized. The Company is currently not under examination by any tax authority.</w:t>
      </w:r>
    </w:p>
    <w:p>
      <w:pPr>
        <w:spacing w:after="0" w:line="147" w:lineRule="exact"/>
        <w:rPr>
          <w:sz w:val="20"/>
          <w:szCs w:val="20"/>
          <w:color w:val="auto"/>
        </w:rPr>
      </w:pPr>
    </w:p>
    <w:p>
      <w:pPr>
        <w:ind w:right="260" w:firstLine="582"/>
        <w:spacing w:after="0" w:line="258" w:lineRule="auto"/>
        <w:rPr>
          <w:sz w:val="20"/>
          <w:szCs w:val="20"/>
          <w:color w:val="auto"/>
        </w:rPr>
      </w:pPr>
      <w:r>
        <w:rPr>
          <w:rFonts w:ascii="Times New Roman" w:cs="Times New Roman" w:eastAsia="Times New Roman" w:hAnsi="Times New Roman"/>
          <w:sz w:val="18"/>
          <w:szCs w:val="18"/>
          <w:color w:val="auto"/>
        </w:rPr>
        <w:t>At December 31, 2025, the Company has available net operating loss carryforwards for Federal and state income tax purposes of $224.1 million and $215.8 million, respectively, which, if not utilized earlier, will begin to expire in 2035. $195.5 million of the federal net operating losses have an indefinite carryforward. The Company has Federal research credits of $10.3 million, which, if not utilized earlier, will begin to expire in 2035, and state research credits of $2.7 million, which, if not utilized earlier, will begin to expire in 2032. State research credits of $0.2 million have an indefinite carryforward.</w:t>
      </w:r>
    </w:p>
    <w:p>
      <w:pPr>
        <w:spacing w:after="0" w:line="143" w:lineRule="exact"/>
        <w:rPr>
          <w:sz w:val="20"/>
          <w:szCs w:val="20"/>
          <w:color w:val="auto"/>
        </w:rPr>
      </w:pPr>
    </w:p>
    <w:p>
      <w:pPr>
        <w:jc w:val="both"/>
        <w:ind w:right="140" w:firstLine="582"/>
        <w:spacing w:after="0" w:line="266" w:lineRule="auto"/>
        <w:rPr>
          <w:sz w:val="20"/>
          <w:szCs w:val="20"/>
          <w:color w:val="auto"/>
        </w:rPr>
      </w:pPr>
      <w:r>
        <w:rPr>
          <w:rFonts w:ascii="Times New Roman" w:cs="Times New Roman" w:eastAsia="Times New Roman" w:hAnsi="Times New Roman"/>
          <w:sz w:val="18"/>
          <w:szCs w:val="18"/>
          <w:color w:val="auto"/>
        </w:rPr>
        <w:t>Ownership changes, as defined in the Internal Revenue Code, including those resulting from the issuance of common stock in connection with the Company's public offerings, may limit the amount of net operating loss and tax credit carryforwards that can be utilized to offset future taxable income or tax liability. The amount of the limitation is determined in accordance with Section 382 of the Internal Revenue Code.</w:t>
      </w:r>
    </w:p>
    <w:p>
      <w:pPr>
        <w:spacing w:after="0" w:line="14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is a reconciliation of the Company's gross uncertain tax position at December 31, 2025 and 2024:</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209"/>
        </w:trPr>
        <w:tc>
          <w:tcPr>
            <w:tcW w:w="3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7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provisions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prior year tax provisions</w:t>
            </w: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Reductions of prior year tax provisions</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end of year</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74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w:t>
            </w:r>
          </w:p>
        </w:tc>
      </w:tr>
    </w:tbl>
    <w:p>
      <w:pPr>
        <w:spacing w:after="0" w:line="2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summarizes the Company's income taxes paid (net of refunds received) for the years presented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4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4100" w:type="dxa"/>
            <w:vAlign w:val="bottom"/>
            <w:gridSpan w:val="2"/>
          </w:tcPr>
          <w:p>
            <w:pPr>
              <w:ind w:left="170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2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20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15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28"/>
        </w:trPr>
        <w:tc>
          <w:tcPr>
            <w:tcW w:w="170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9"/>
                <w:szCs w:val="19"/>
                <w:color w:val="auto"/>
              </w:rPr>
            </w:pPr>
          </w:p>
        </w:tc>
      </w:tr>
      <w:tr>
        <w:trPr>
          <w:trHeight w:val="630"/>
        </w:trPr>
        <w:tc>
          <w:tcPr>
            <w:tcW w:w="17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F-28</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-1053465</wp:posOffset>
            </wp:positionV>
            <wp:extent cx="431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-1053465</wp:posOffset>
            </wp:positionV>
            <wp:extent cx="431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36" w:name="page137"/>
    <w:bookmarkEnd w:id="136"/>
    <w:p>
      <w:pPr>
        <w:spacing w:after="0" w:line="3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summarizes the jurisdictions that exceeded 5% of the Company's total income taxes paid (net of refunds) for the years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135"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8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2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40" w:type="dxa"/>
            <w:vAlign w:val="bottom"/>
          </w:tcPr>
          <w:p>
            <w:pPr>
              <w:spacing w:after="0"/>
              <w:rPr>
                <w:sz w:val="18"/>
                <w:szCs w:val="18"/>
                <w:color w:val="auto"/>
              </w:rPr>
            </w:pPr>
          </w:p>
        </w:tc>
        <w:tc>
          <w:tcPr>
            <w:tcW w:w="15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144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Singapore</w:t>
            </w:r>
          </w:p>
        </w:tc>
        <w:tc>
          <w:tcPr>
            <w:tcW w:w="3020" w:type="dxa"/>
            <w:vAlign w:val="bottom"/>
            <w:gridSpan w:val="2"/>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3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5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tab/>
        <w:t>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Einstein License Agreement</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2015, the Company entered into the Einstein License with Einstein for certain patent rights relating to the Company’s core technology platform for the engineering of biologics to control T cell activity, precision, immune-modulatory drug product candidates, and two supporting technologies that enable the discovery of costimulatory signaling molecules (ligands) and T cell targeting peptides. The Company entered into an amended and restated license agreement on July 31, 2017, as amended on October 2018, which modified certain obligations of the parties under the Einstein License. The Einstein License was further amended on January 13, 2024 and April 10, 2025.</w:t>
      </w:r>
    </w:p>
    <w:p>
      <w:pPr>
        <w:spacing w:after="0" w:line="7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pays $0.1 million in annual maintenance license fees to Einstein, which are amortized equally throughout the year. The Company incurred $0.1 million in annual maintenance fees for each of the years ended December 31, 2025 and 2024.</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second quarter of 2025, the Company paid Einstein $0.9 million in fees under the amendment to the Einstein License in relation to the BI Collaboration and License Agreement. In the fourth quarter of 2025, the Company incurred license maintenance fees of $1.5 million related to the IMSCP Collaboration and License Agreement.</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remaining commitments with respect to the Einstein License are based on the attainment of future milestones. The aggregate amount of milestone payments made under the Einstein License may equal up to $1.85 million for each Einstein Licensed Product, and up to $1.85 million for each new indication of an Einstein Licensed Product. Additionally, the aggregate amount of one-time milestone payments based on cumulative sales of all Einstein Licensed Products may equal up to $5.75 million. The Company is also party to a service agreement with Einstein to support the Company’s ongoing research and development activities.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LG Chem</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discussion of the LG Chem Collaboration Agreement in Note 10.</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Option Agreement with Ono</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discussion of the Ono Collaboration and Option Agreement in Note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BI</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discussion of the BI Collaboration and License Agreement in Note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IMSCP</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discussion of the IMSCP Collaboration and License Agreement in Note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89" w:lineRule="exact"/>
        <w:rPr>
          <w:sz w:val="20"/>
          <w:szCs w:val="20"/>
          <w:color w:val="auto"/>
        </w:rPr>
      </w:pPr>
    </w:p>
    <w:p>
      <w:pPr>
        <w:ind w:right="40" w:firstLine="582"/>
        <w:spacing w:after="0" w:line="282" w:lineRule="auto"/>
        <w:rPr>
          <w:sz w:val="20"/>
          <w:szCs w:val="20"/>
          <w:color w:val="auto"/>
        </w:rPr>
      </w:pPr>
      <w:r>
        <w:rPr>
          <w:rFonts w:ascii="Times New Roman" w:cs="Times New Roman" w:eastAsia="Times New Roman" w:hAnsi="Times New Roman"/>
          <w:sz w:val="18"/>
          <w:szCs w:val="18"/>
          <w:color w:val="auto"/>
        </w:rPr>
        <w:t>The Company accrues contingent liabilities to the extent that the liability is probable and estimable. There are no accruals for contingent liabilities in these consolidated financial statements.</w:t>
      </w:r>
    </w:p>
    <w:p>
      <w:pPr>
        <w:spacing w:after="0" w:line="135" w:lineRule="exact"/>
        <w:rPr>
          <w:sz w:val="20"/>
          <w:szCs w:val="20"/>
          <w:color w:val="auto"/>
        </w:rPr>
      </w:pPr>
    </w:p>
    <w:p>
      <w:pPr>
        <w:ind w:right="140" w:firstLine="582"/>
        <w:spacing w:after="0" w:line="282" w:lineRule="auto"/>
        <w:rPr>
          <w:sz w:val="20"/>
          <w:szCs w:val="20"/>
          <w:color w:val="auto"/>
        </w:rPr>
      </w:pPr>
      <w:r>
        <w:rPr>
          <w:rFonts w:ascii="Times New Roman" w:cs="Times New Roman" w:eastAsia="Times New Roman" w:hAnsi="Times New Roman"/>
          <w:sz w:val="18"/>
          <w:szCs w:val="18"/>
          <w:color w:val="auto"/>
        </w:rPr>
        <w:t>The Company may be subject to various legal proceedings from time to time as part of its business. As of December 31, 2025, the Company was not a party to any legal proceedings or threatened legal proceedings, the adverse outcome of which,</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individually or in the aggregate, would have a material adverse effect on its business, financial condition or results of operations.</w:t>
      </w:r>
    </w:p>
    <w:p>
      <w:pPr>
        <w:spacing w:after="0" w:line="221"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March 28, 2022, the Company entered into a License Agreement (the “License”) with MIL 40G, LLC (the “Licensor”), pursuant to which the Company leases approximately 13,000 square feet of office, research and development and laboratory space located at 40 Guest Street, Boston, Massachusetts 02135 (the “Office and Laboratory Space”). The Company recognized a right of use asset of $9.1 million and an operating lease liability of $9.1 million which were recorded as of the Term Commencement Date (as defined below) related to the License. The term of the License commenced on April 15, 2022 (the “Term Commencement Date”).</w:t>
      </w:r>
    </w:p>
    <w:p>
      <w:pPr>
        <w:spacing w:after="0" w:line="143"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On May 3, 2022, the Company entered into the First Amendment to the License ("First Amendment”) with the Licensor, pursuant to which the License was expanded to include an additional room effective July 15, 2022. On July 7, 2022, the Company entered into an operating lease for additional laboratory space (the “Additional Laboratory Space”) at 40 Guest Street for the period from December 1, 2022 through December 1, 2024 (the “40G Additional Laboratory Lease”).</w:t>
      </w:r>
    </w:p>
    <w:p>
      <w:pPr>
        <w:spacing w:after="0" w:line="13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November 20, 2024, the Company extended the term of the 40G Additional Laboratory Lease through July 14, 2026. The monthly rental rate for the Additional Laboratory Space is $61,519 through November 30, 2025 and $63,979 for the remainder of the term until July 14, 2026. During the year ended December 31, 2024, the Company recognized a right of use asset of $1.1 million and short term and long term operating lease liabilities of $0.7 million, and $0.4 million, respectively, using a discount rate of 10%, which were recorded as of the term commencement date related to the 40G Additional Laboratory Lease.</w:t>
      </w:r>
    </w:p>
    <w:p>
      <w:pPr>
        <w:spacing w:after="0" w:line="156" w:lineRule="exact"/>
        <w:rPr>
          <w:sz w:val="20"/>
          <w:szCs w:val="20"/>
          <w:color w:val="auto"/>
        </w:rPr>
      </w:pPr>
    </w:p>
    <w:p>
      <w:pPr>
        <w:ind w:right="20" w:firstLine="794"/>
        <w:spacing w:after="0" w:line="261" w:lineRule="auto"/>
        <w:rPr>
          <w:sz w:val="20"/>
          <w:szCs w:val="20"/>
          <w:color w:val="auto"/>
        </w:rPr>
      </w:pPr>
      <w:r>
        <w:rPr>
          <w:rFonts w:ascii="Times New Roman" w:cs="Times New Roman" w:eastAsia="Times New Roman" w:hAnsi="Times New Roman"/>
          <w:sz w:val="18"/>
          <w:szCs w:val="18"/>
          <w:color w:val="auto"/>
        </w:rPr>
        <w:t>On June 30, 2025, the Company entered into the Second Amendment to the License with the Licensor. Pursuant to the Second Amendment, effective June 30, 2025, the monthly rental rate for the Office and Laboratory Space decreased from $235,884 to $147,546, subject to a 4% increase on April 15, 2027, and the term of the License was extended from April 14, 2026 to April 14, 2028. In addition, the Licensor agreed to provide the Company a partial credit of $44,169 for rent the Company had paid at the new monthly rental rate for the month of June 2025.</w:t>
      </w:r>
    </w:p>
    <w:p>
      <w:pPr>
        <w:spacing w:after="0" w:line="18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recorded $0.4 million and $0.3 million, respectively, in interest expense to the lease liability.</w:t>
      </w:r>
    </w:p>
    <w:p>
      <w:pPr>
        <w:spacing w:after="0" w:line="121"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At December 31, 2025, the Company recorded $4.1 million to operating lease right-of-use asset, and $1.9 million and $2.3 million to the short-term and long-term operating lease liability, respectively. At December 31, 2024, the Company recorded $4.4 million to operating lease right-of-use asset, and $3.5 million and $1.0 million to the short-term and long-term operating lease liability, respectively.</w:t>
      </w:r>
    </w:p>
    <w:p>
      <w:pPr>
        <w:spacing w:after="0" w:line="135"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under these leases at December 31, 2025 are as follows: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688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Pr>
          <w:p>
            <w:pPr>
              <w:spacing w:after="0"/>
              <w:rPr>
                <w:sz w:val="24"/>
                <w:szCs w:val="24"/>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10"/>
        </w:trPr>
        <w:tc>
          <w:tcPr>
            <w:tcW w:w="1660" w:type="dxa"/>
            <w:vAlign w:val="bottom"/>
          </w:tcPr>
          <w:p>
            <w:pPr>
              <w:spacing w:after="0"/>
              <w:rPr>
                <w:sz w:val="18"/>
                <w:szCs w:val="18"/>
                <w:color w:val="auto"/>
              </w:rPr>
            </w:pPr>
          </w:p>
        </w:tc>
        <w:tc>
          <w:tcPr>
            <w:tcW w:w="5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16"/>
        </w:trPr>
        <w:tc>
          <w:tcPr>
            <w:tcW w:w="16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r>
      <w:tr>
        <w:trPr>
          <w:trHeight w:val="216"/>
        </w:trPr>
        <w:tc>
          <w:tcPr>
            <w:tcW w:w="166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10"/>
        </w:trPr>
        <w:tc>
          <w:tcPr>
            <w:tcW w:w="16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r>
      <w:tr>
        <w:trPr>
          <w:trHeight w:val="216"/>
        </w:trPr>
        <w:tc>
          <w:tcPr>
            <w:tcW w:w="1660" w:type="dxa"/>
            <w:vAlign w:val="bottom"/>
          </w:tcPr>
          <w:p>
            <w:pPr>
              <w:spacing w:after="0"/>
              <w:rPr>
                <w:sz w:val="18"/>
                <w:szCs w:val="18"/>
                <w:color w:val="auto"/>
              </w:rPr>
            </w:pPr>
          </w:p>
        </w:tc>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10"/>
        </w:trPr>
        <w:tc>
          <w:tcPr>
            <w:tcW w:w="16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w:t>
            </w:r>
          </w:p>
        </w:tc>
      </w:tr>
      <w:tr>
        <w:trPr>
          <w:trHeight w:val="20"/>
        </w:trPr>
        <w:tc>
          <w:tcPr>
            <w:tcW w:w="16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920" w:firstLine="582"/>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total rent expense of $2.9 million and $3.4 million, respectively, was included in the consolidated statements of operations.</w:t>
      </w:r>
    </w:p>
    <w:p>
      <w:pPr>
        <w:spacing w:after="0" w:line="1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related to the Company's leases were as follows:</w:t>
      </w:r>
    </w:p>
    <w:p>
      <w:pPr>
        <w:spacing w:after="0" w:line="32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r>
      <w:tr>
        <w:trPr>
          <w:trHeight w:val="209"/>
        </w:trPr>
        <w:tc>
          <w:tcPr>
            <w:tcW w:w="7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2.12</w:t>
            </w:r>
          </w:p>
        </w:tc>
        <w:tc>
          <w:tcPr>
            <w:tcW w:w="2020" w:type="dxa"/>
            <w:vAlign w:val="bottom"/>
            <w:gridSpan w:val="2"/>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rPr>
              <w:t>2.16</w:t>
            </w:r>
          </w:p>
        </w:tc>
      </w:tr>
      <w:tr>
        <w:trPr>
          <w:trHeight w:val="234"/>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9.77%</w:t>
            </w:r>
          </w:p>
        </w:tc>
        <w:tc>
          <w:tcPr>
            <w:tcW w:w="202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w w:val="98"/>
              </w:rPr>
              <w:t>6.25%</w:t>
            </w:r>
          </w:p>
        </w:tc>
      </w:tr>
      <w:tr>
        <w:trPr>
          <w:trHeight w:val="805"/>
        </w:trPr>
        <w:tc>
          <w:tcPr>
            <w:tcW w:w="786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F-30</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63"/>
        </w:trPr>
        <w:tc>
          <w:tcPr>
            <w:tcW w:w="65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38" w:name="page139"/>
    <w:bookmarkEnd w:id="138"/>
    <w:p>
      <w:pPr>
        <w:ind w:left="460" w:hanging="452"/>
        <w:spacing w:after="0"/>
        <w:tabs>
          <w:tab w:leader="none" w:pos="4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Cue Biopharma 401(k) Plan</w:t>
      </w:r>
    </w:p>
    <w:p>
      <w:pPr>
        <w:spacing w:after="0" w:line="202"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Effective as of January 1, 2017, the Company adopted the Cue Biopharma 401(k) Plan (the “Plan”) for all employees of the Company. Employees may participate in the Plan upon complying with the Plan’s eligibility requirements, subject to limitations imposed by the Internal Revenue Service. Under the Plan, the Company may match employee contributions at its discretion. The Company made contributions of $0.2 million and $0.3 million to the Plan for the years ended December 31, 2025 and 2024, respectively.</w:t>
      </w:r>
    </w:p>
    <w:p>
      <w:pPr>
        <w:spacing w:after="0" w:line="135"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on which the consolidated financial statements were issued, to ensure that this submission includes appropriate disclosure of events both recognized in the consolidated financial statements and events which occurred subsequently but were not recognized in the consolidated financial statements.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46"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documents filed as part of this report:</w:t>
      </w:r>
    </w:p>
    <w:p>
      <w:pPr>
        <w:spacing w:after="0" w:line="225" w:lineRule="exact"/>
        <w:rPr>
          <w:sz w:val="20"/>
          <w:szCs w:val="20"/>
          <w:color w:val="auto"/>
        </w:rPr>
      </w:pPr>
    </w:p>
    <w:p>
      <w:pPr>
        <w:ind w:left="300" w:hanging="292"/>
        <w:spacing w:after="0"/>
        <w:tabs>
          <w:tab w:leader="none" w:pos="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“Financial Statements and Supplementary Data” at Item 8 and incorporated herein by reference).</w:t>
      </w:r>
    </w:p>
    <w:p>
      <w:pPr>
        <w:spacing w:after="0" w:line="225" w:lineRule="exact"/>
        <w:rPr>
          <w:rFonts w:ascii="Times New Roman" w:cs="Times New Roman" w:eastAsia="Times New Roman" w:hAnsi="Times New Roman"/>
          <w:sz w:val="18"/>
          <w:szCs w:val="18"/>
          <w:color w:val="auto"/>
        </w:rPr>
      </w:pPr>
    </w:p>
    <w:p>
      <w:pPr>
        <w:ind w:left="300" w:right="100" w:hanging="292"/>
        <w:spacing w:after="0" w:line="282" w:lineRule="auto"/>
        <w:tabs>
          <w:tab w:leader="none" w:pos="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(Schedules to the Financial Statements have been omitted because the information required to be set forth therein is not applicable or is shown in the accompanying Financial Statements or notes thereto)</w:t>
      </w:r>
    </w:p>
    <w:p>
      <w:pPr>
        <w:spacing w:after="0" w:line="16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 on Form 10-K:</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40" w:type="dxa"/>
            <w:vAlign w:val="bottom"/>
            <w:gridSpan w:val="17"/>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00" w:type="dxa"/>
            <w:vAlign w:val="bottom"/>
          </w:tcPr>
          <w:p>
            <w:pPr>
              <w:jc w:val="center"/>
              <w:ind w:left="53"/>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Registration</w:t>
            </w:r>
          </w:p>
        </w:tc>
        <w:tc>
          <w:tcPr>
            <w:tcW w:w="0" w:type="dxa"/>
            <w:vAlign w:val="bottom"/>
          </w:tcPr>
          <w:p>
            <w:pPr>
              <w:spacing w:after="0"/>
              <w:rPr>
                <w:sz w:val="1"/>
                <w:szCs w:val="1"/>
                <w:color w:val="auto"/>
              </w:rPr>
            </w:pPr>
          </w:p>
        </w:tc>
      </w:tr>
      <w:tr>
        <w:trPr>
          <w:trHeight w:val="190"/>
        </w:trPr>
        <w:tc>
          <w:tcPr>
            <w:tcW w:w="9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40" w:type="dxa"/>
            <w:vAlign w:val="bottom"/>
            <w:gridSpan w:val="17"/>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7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500" w:type="dxa"/>
            <w:vAlign w:val="bottom"/>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253"/>
        </w:trPr>
        <w:tc>
          <w:tcPr>
            <w:tcW w:w="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3.1</w:t>
            </w:r>
          </w:p>
        </w:tc>
        <w:tc>
          <w:tcPr>
            <w:tcW w:w="50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Amended and Restated Certificate of Incorporation of the Registrant,</w:t>
              </w:r>
            </w:hyperlink>
          </w:p>
        </w:tc>
        <w:tc>
          <w:tcPr>
            <w:tcW w:w="60" w:type="dxa"/>
            <w:vAlign w:val="bottom"/>
            <w:gridSpan w:val="3"/>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08/12/2025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001-38327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44">
              <w:r>
                <w:rPr>
                  <w:rFonts w:ascii="Times New Roman" w:cs="Times New Roman" w:eastAsia="Times New Roman" w:hAnsi="Times New Roman"/>
                  <w:sz w:val="18"/>
                  <w:szCs w:val="18"/>
                  <w:color w:val="0000FF"/>
                  <w:w w:val="99"/>
                </w:rPr>
                <w:t>as amended</w:t>
              </w:r>
            </w:hyperlink>
          </w:p>
        </w:tc>
        <w:tc>
          <w:tcPr>
            <w:tcW w:w="20" w:type="dxa"/>
            <w:vAlign w:val="bottom"/>
            <w:tcBorders>
              <w:bottom w:val="single" w:sz="8" w:color="0000EE"/>
            </w:tcBorders>
          </w:tcPr>
          <w:p>
            <w:pPr>
              <w:spacing w:after="0"/>
              <w:rPr>
                <w:sz w:val="17"/>
                <w:szCs w:val="17"/>
                <w:color w:val="auto"/>
              </w:rPr>
            </w:pPr>
          </w:p>
        </w:tc>
        <w:tc>
          <w:tcPr>
            <w:tcW w:w="4240" w:type="dxa"/>
            <w:vAlign w:val="bottom"/>
            <w:gridSpan w:val="17"/>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3.2</w:t>
            </w:r>
          </w:p>
        </w:tc>
        <w:tc>
          <w:tcPr>
            <w:tcW w:w="5120" w:type="dxa"/>
            <w:vAlign w:val="bottom"/>
            <w:gridSpan w:val="21"/>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Amended and Restated Bylaws of the Registrant</w:t>
              </w:r>
            </w:hyperlink>
          </w:p>
        </w:tc>
        <w:tc>
          <w:tcPr>
            <w:tcW w:w="8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12/05/2017</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333-220550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4.1</w:t>
            </w:r>
          </w:p>
        </w:tc>
        <w:tc>
          <w:tcPr>
            <w:tcW w:w="47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Specimen Certificate representing shares of common stock of the</w:t>
              </w:r>
            </w:hyperlink>
          </w:p>
        </w:tc>
        <w:tc>
          <w:tcPr>
            <w:tcW w:w="38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12/05/2017</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333-220550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120" w:type="dxa"/>
            <w:vAlign w:val="bottom"/>
            <w:gridSpan w:val="21"/>
          </w:tcPr>
          <w:p>
            <w:pPr>
              <w:spacing w:after="0" w:line="196"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Registrant</w:t>
              </w:r>
            </w:hyperlink>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4.2</w:t>
            </w:r>
          </w:p>
        </w:tc>
        <w:tc>
          <w:tcPr>
            <w:tcW w:w="50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Description of Common Stock of the Registrant Registered Pursuant</w:t>
            </w:r>
          </w:p>
        </w:tc>
        <w:tc>
          <w:tcPr>
            <w:tcW w:w="120" w:type="dxa"/>
            <w:vAlign w:val="bottom"/>
            <w:gridSpan w:val="5"/>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1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to Section 12 of the Securities Exchange Act of 1934</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4.3</w:t>
            </w:r>
          </w:p>
        </w:tc>
        <w:tc>
          <w:tcPr>
            <w:tcW w:w="41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47">
              <w:r>
                <w:rPr>
                  <w:rFonts w:ascii="Times New Roman" w:cs="Times New Roman" w:eastAsia="Times New Roman" w:hAnsi="Times New Roman"/>
                  <w:sz w:val="18"/>
                  <w:szCs w:val="18"/>
                  <w:color w:val="0000FF"/>
                  <w:w w:val="99"/>
                </w:rPr>
                <w:t>Form of Pre-Funded Warrant to Purchase Common Stock</w:t>
              </w:r>
            </w:hyperlink>
          </w:p>
        </w:tc>
        <w:tc>
          <w:tcPr>
            <w:tcW w:w="960" w:type="dxa"/>
            <w:vAlign w:val="bottom"/>
            <w:gridSpan w:val="12"/>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12/19/2025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001-38327</w:t>
            </w:r>
          </w:p>
        </w:tc>
        <w:tc>
          <w:tcPr>
            <w:tcW w:w="0" w:type="dxa"/>
            <w:vAlign w:val="bottom"/>
          </w:tcPr>
          <w:p>
            <w:pPr>
              <w:spacing w:after="0"/>
              <w:rPr>
                <w:sz w:val="1"/>
                <w:szCs w:val="1"/>
                <w:color w:val="auto"/>
              </w:rPr>
            </w:pPr>
          </w:p>
        </w:tc>
      </w:tr>
      <w:tr>
        <w:trPr>
          <w:trHeight w:val="290"/>
        </w:trPr>
        <w:tc>
          <w:tcPr>
            <w:tcW w:w="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4.4</w:t>
            </w:r>
          </w:p>
        </w:tc>
        <w:tc>
          <w:tcPr>
            <w:tcW w:w="32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Form of Warrant to Purchase Common Stock</w:t>
              </w:r>
            </w:hyperlink>
          </w:p>
        </w:tc>
        <w:tc>
          <w:tcPr>
            <w:tcW w:w="20" w:type="dxa"/>
            <w:vAlign w:val="bottom"/>
            <w:tcBorders>
              <w:bottom w:val="single" w:sz="8" w:color="0000EE"/>
            </w:tcBorders>
          </w:tcPr>
          <w:p>
            <w:pPr>
              <w:spacing w:after="0"/>
              <w:rPr>
                <w:sz w:val="24"/>
                <w:szCs w:val="24"/>
                <w:color w:val="auto"/>
              </w:rPr>
            </w:pPr>
          </w:p>
        </w:tc>
        <w:tc>
          <w:tcPr>
            <w:tcW w:w="1820" w:type="dxa"/>
            <w:vAlign w:val="bottom"/>
            <w:gridSpan w:val="15"/>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w w:val="99"/>
              </w:rPr>
              <w:t>12/19/2025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001-38327</w:t>
            </w:r>
          </w:p>
        </w:tc>
        <w:tc>
          <w:tcPr>
            <w:tcW w:w="0" w:type="dxa"/>
            <w:vAlign w:val="bottom"/>
          </w:tcPr>
          <w:p>
            <w:pPr>
              <w:spacing w:after="0"/>
              <w:rPr>
                <w:sz w:val="1"/>
                <w:szCs w:val="1"/>
                <w:color w:val="auto"/>
              </w:rPr>
            </w:pPr>
          </w:p>
        </w:tc>
      </w:tr>
      <w:tr>
        <w:trPr>
          <w:trHeight w:val="290"/>
        </w:trPr>
        <w:tc>
          <w:tcPr>
            <w:tcW w:w="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4.5</w:t>
            </w:r>
          </w:p>
        </w:tc>
        <w:tc>
          <w:tcPr>
            <w:tcW w:w="41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Form of Pre-Funded Warrant to Purchase Common Stock</w:t>
              </w:r>
            </w:hyperlink>
          </w:p>
        </w:tc>
        <w:tc>
          <w:tcPr>
            <w:tcW w:w="960" w:type="dxa"/>
            <w:vAlign w:val="bottom"/>
            <w:gridSpan w:val="12"/>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04/15/2025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001-38327</w:t>
            </w:r>
          </w:p>
        </w:tc>
        <w:tc>
          <w:tcPr>
            <w:tcW w:w="0" w:type="dxa"/>
            <w:vAlign w:val="bottom"/>
          </w:tcPr>
          <w:p>
            <w:pPr>
              <w:spacing w:after="0"/>
              <w:rPr>
                <w:sz w:val="1"/>
                <w:szCs w:val="1"/>
                <w:color w:val="auto"/>
              </w:rPr>
            </w:pPr>
          </w:p>
        </w:tc>
      </w:tr>
      <w:tr>
        <w:trPr>
          <w:trHeight w:val="290"/>
        </w:trPr>
        <w:tc>
          <w:tcPr>
            <w:tcW w:w="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4.6</w:t>
            </w:r>
          </w:p>
        </w:tc>
        <w:tc>
          <w:tcPr>
            <w:tcW w:w="32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Form of Warrant to Purchase Common Stock</w:t>
              </w:r>
            </w:hyperlink>
          </w:p>
        </w:tc>
        <w:tc>
          <w:tcPr>
            <w:tcW w:w="20" w:type="dxa"/>
            <w:vAlign w:val="bottom"/>
            <w:tcBorders>
              <w:bottom w:val="single" w:sz="8" w:color="0000EE"/>
            </w:tcBorders>
          </w:tcPr>
          <w:p>
            <w:pPr>
              <w:spacing w:after="0"/>
              <w:rPr>
                <w:sz w:val="24"/>
                <w:szCs w:val="24"/>
                <w:color w:val="auto"/>
              </w:rPr>
            </w:pPr>
          </w:p>
        </w:tc>
        <w:tc>
          <w:tcPr>
            <w:tcW w:w="1820" w:type="dxa"/>
            <w:vAlign w:val="bottom"/>
            <w:gridSpan w:val="15"/>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04/15/2025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001-38327</w:t>
            </w:r>
          </w:p>
        </w:tc>
        <w:tc>
          <w:tcPr>
            <w:tcW w:w="0" w:type="dxa"/>
            <w:vAlign w:val="bottom"/>
          </w:tcPr>
          <w:p>
            <w:pPr>
              <w:spacing w:after="0"/>
              <w:rPr>
                <w:sz w:val="1"/>
                <w:szCs w:val="1"/>
                <w:color w:val="auto"/>
              </w:rPr>
            </w:pPr>
          </w:p>
        </w:tc>
      </w:tr>
      <w:tr>
        <w:trPr>
          <w:trHeight w:val="290"/>
        </w:trPr>
        <w:tc>
          <w:tcPr>
            <w:tcW w:w="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4.7</w:t>
            </w:r>
          </w:p>
        </w:tc>
        <w:tc>
          <w:tcPr>
            <w:tcW w:w="41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251">
              <w:r>
                <w:rPr>
                  <w:rFonts w:ascii="Times New Roman" w:cs="Times New Roman" w:eastAsia="Times New Roman" w:hAnsi="Times New Roman"/>
                  <w:sz w:val="18"/>
                  <w:szCs w:val="18"/>
                  <w:color w:val="0000FF"/>
                  <w:w w:val="99"/>
                </w:rPr>
                <w:t>Form of Pre-Funded Warrant to Purchase Common Stock</w:t>
              </w:r>
            </w:hyperlink>
          </w:p>
        </w:tc>
        <w:tc>
          <w:tcPr>
            <w:tcW w:w="960" w:type="dxa"/>
            <w:vAlign w:val="bottom"/>
            <w:gridSpan w:val="12"/>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09/27/2024</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001-38327</w:t>
            </w:r>
          </w:p>
        </w:tc>
        <w:tc>
          <w:tcPr>
            <w:tcW w:w="0" w:type="dxa"/>
            <w:vAlign w:val="bottom"/>
          </w:tcPr>
          <w:p>
            <w:pPr>
              <w:spacing w:after="0"/>
              <w:rPr>
                <w:sz w:val="1"/>
                <w:szCs w:val="1"/>
                <w:color w:val="auto"/>
              </w:rPr>
            </w:pPr>
          </w:p>
        </w:tc>
      </w:tr>
      <w:tr>
        <w:trPr>
          <w:trHeight w:val="412"/>
        </w:trPr>
        <w:tc>
          <w:tcPr>
            <w:tcW w:w="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4.8</w:t>
            </w:r>
          </w:p>
        </w:tc>
        <w:tc>
          <w:tcPr>
            <w:tcW w:w="32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Form of Warrant to Purchase Common Stock</w:t>
              </w:r>
            </w:hyperlink>
          </w:p>
        </w:tc>
        <w:tc>
          <w:tcPr>
            <w:tcW w:w="20" w:type="dxa"/>
            <w:vAlign w:val="bottom"/>
            <w:tcBorders>
              <w:bottom w:val="single" w:sz="8" w:color="0000EE"/>
            </w:tcBorders>
          </w:tcPr>
          <w:p>
            <w:pPr>
              <w:spacing w:after="0"/>
              <w:rPr>
                <w:sz w:val="24"/>
                <w:szCs w:val="24"/>
                <w:color w:val="auto"/>
              </w:rPr>
            </w:pPr>
          </w:p>
        </w:tc>
        <w:tc>
          <w:tcPr>
            <w:tcW w:w="1820" w:type="dxa"/>
            <w:vAlign w:val="bottom"/>
            <w:gridSpan w:val="15"/>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09/27/2024</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001-38327</w:t>
            </w:r>
          </w:p>
        </w:tc>
        <w:tc>
          <w:tcPr>
            <w:tcW w:w="0" w:type="dxa"/>
            <w:vAlign w:val="bottom"/>
          </w:tcPr>
          <w:p>
            <w:pPr>
              <w:spacing w:after="0"/>
              <w:rPr>
                <w:sz w:val="1"/>
                <w:szCs w:val="1"/>
                <w:color w:val="auto"/>
              </w:rPr>
            </w:pPr>
          </w:p>
        </w:tc>
      </w:tr>
      <w:tr>
        <w:trPr>
          <w:trHeight w:val="412"/>
        </w:trPr>
        <w:tc>
          <w:tcPr>
            <w:tcW w:w="9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4.9</w:t>
            </w:r>
          </w:p>
        </w:tc>
        <w:tc>
          <w:tcPr>
            <w:tcW w:w="5120" w:type="dxa"/>
            <w:vAlign w:val="bottom"/>
            <w:gridSpan w:val="21"/>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Form of Warrant to Purchase Common Stock or Pre-Funded Warrant</w:t>
              </w:r>
            </w:hyperlink>
          </w:p>
        </w:tc>
        <w:tc>
          <w:tcPr>
            <w:tcW w:w="8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11/15/2022</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001-38327</w:t>
            </w:r>
          </w:p>
        </w:tc>
        <w:tc>
          <w:tcPr>
            <w:tcW w:w="0" w:type="dxa"/>
            <w:vAlign w:val="bottom"/>
          </w:tcPr>
          <w:p>
            <w:pPr>
              <w:spacing w:after="0"/>
              <w:rPr>
                <w:sz w:val="1"/>
                <w:szCs w:val="1"/>
                <w:color w:val="auto"/>
              </w:rPr>
            </w:pPr>
          </w:p>
        </w:tc>
      </w:tr>
      <w:tr>
        <w:trPr>
          <w:trHeight w:val="290"/>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10.1#</w:t>
            </w:r>
          </w:p>
        </w:tc>
        <w:tc>
          <w:tcPr>
            <w:tcW w:w="494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First Amendment to Collaboration, License and Option Agreement,</w:t>
              </w:r>
            </w:hyperlink>
          </w:p>
        </w:tc>
        <w:tc>
          <w:tcPr>
            <w:tcW w:w="40" w:type="dxa"/>
            <w:vAlign w:val="bottom"/>
            <w:tcBorders>
              <w:top w:val="single" w:sz="8" w:color="0000FF"/>
            </w:tcBorders>
          </w:tcPr>
          <w:p>
            <w:pPr>
              <w:spacing w:after="0"/>
              <w:rPr>
                <w:sz w:val="24"/>
                <w:szCs w:val="24"/>
                <w:color w:val="auto"/>
              </w:rPr>
            </w:pPr>
          </w:p>
        </w:tc>
        <w:tc>
          <w:tcPr>
            <w:tcW w:w="14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10.3</w:t>
            </w:r>
          </w:p>
        </w:tc>
        <w:tc>
          <w:tcPr>
            <w:tcW w:w="15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03/09/2021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001-38327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9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dated March 15, 2019, between the Registrant and LG CHEM LTD.</w:t>
              </w:r>
            </w:hyperlink>
          </w:p>
        </w:tc>
        <w:tc>
          <w:tcPr>
            <w:tcW w:w="20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10.2#</w:t>
            </w:r>
          </w:p>
        </w:tc>
        <w:tc>
          <w:tcPr>
            <w:tcW w:w="51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Second Amendment to Collaboration, License and Option Agreement,</w:t>
              </w:r>
            </w:hyperlink>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10.4</w:t>
            </w:r>
          </w:p>
        </w:tc>
        <w:tc>
          <w:tcPr>
            <w:tcW w:w="15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03/09/2021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001-38327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dated August 5, 2019, between the Registrant and LG CHEM LTD.</w:t>
              </w:r>
            </w:hyperlink>
          </w:p>
        </w:tc>
        <w:tc>
          <w:tcPr>
            <w:tcW w:w="24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10.3#</w:t>
            </w:r>
          </w:p>
        </w:tc>
        <w:tc>
          <w:tcPr>
            <w:tcW w:w="50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Third Amendment to Collaboration, License and Option Agreement,</w:t>
              </w:r>
            </w:hyperlink>
          </w:p>
        </w:tc>
        <w:tc>
          <w:tcPr>
            <w:tcW w:w="12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10.5</w:t>
            </w:r>
          </w:p>
        </w:tc>
        <w:tc>
          <w:tcPr>
            <w:tcW w:w="15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03/09/2021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001-38327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120" w:type="dxa"/>
            <w:vAlign w:val="bottom"/>
            <w:gridSpan w:val="21"/>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dated October 29, 2019, between the Registrant and LG CHEM LTD.</w:t>
              </w:r>
            </w:hyperlink>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0" w:type="dxa"/>
            <w:vAlign w:val="bottom"/>
            <w:gridSpan w:val="10"/>
            <w:shd w:val="clear" w:color="auto" w:fill="0000FF"/>
          </w:tcPr>
          <w:p>
            <w:pPr>
              <w:spacing w:after="0" w:line="20" w:lineRule="exact"/>
              <w:rPr>
                <w:sz w:val="1"/>
                <w:szCs w:val="1"/>
                <w:color w:val="auto"/>
              </w:rPr>
            </w:pPr>
          </w:p>
        </w:tc>
        <w:tc>
          <w:tcPr>
            <w:tcW w:w="240" w:type="dxa"/>
            <w:vAlign w:val="bottom"/>
            <w:tcBorders>
              <w:right w:val="single" w:sz="8" w:color="0000EE"/>
            </w:tcBorders>
            <w:gridSpan w:val="6"/>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8"/>
              </w:rPr>
              <w:t>10.4#</w:t>
            </w:r>
          </w:p>
        </w:tc>
        <w:tc>
          <w:tcPr>
            <w:tcW w:w="50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Fourth Amendment to Collaboration, License and Option Agreement,</w:t>
              </w:r>
            </w:hyperlink>
          </w:p>
        </w:tc>
        <w:tc>
          <w:tcPr>
            <w:tcW w:w="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10.6</w:t>
            </w:r>
          </w:p>
        </w:tc>
        <w:tc>
          <w:tcPr>
            <w:tcW w:w="15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9"/>
              </w:rPr>
              <w:t>03/09/2021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001-38327</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dated December 18, 2019, between the Registrant and LG CHEM</w:t>
              </w:r>
            </w:hyperlink>
          </w:p>
        </w:tc>
        <w:tc>
          <w:tcPr>
            <w:tcW w:w="32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120" w:type="dxa"/>
            <w:vAlign w:val="bottom"/>
            <w:gridSpan w:val="21"/>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LTD.</w:t>
              </w:r>
            </w:hyperlink>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9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80" w:type="dxa"/>
            <w:vAlign w:val="bottom"/>
            <w:gridSpan w:val="11"/>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40" w:name="page141"/>
    <w:bookmarkEnd w:id="140"/>
    <w:p>
      <w:pPr>
        <w:ind w:left="920" w:right="100" w:hanging="917"/>
        <w:spacing w:after="0" w:line="312" w:lineRule="auto"/>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260">
        <w:r>
          <w:rPr>
            <w:rFonts w:ascii="Times New Roman" w:cs="Times New Roman" w:eastAsia="Times New Roman" w:hAnsi="Times New Roman"/>
            <w:sz w:val="17"/>
            <w:szCs w:val="17"/>
            <w:u w:val="single" w:color="auto"/>
            <w:color w:val="0000FF"/>
          </w:rPr>
          <w:t>Fifth Amendment to Collaboration, License and Option Agreement,</w:t>
        </w:r>
      </w:hyperlink>
      <w:r>
        <w:rPr>
          <w:rFonts w:ascii="Times New Roman" w:cs="Times New Roman" w:eastAsia="Times New Roman" w:hAnsi="Times New Roman"/>
          <w:sz w:val="17"/>
          <w:szCs w:val="17"/>
          <w:u w:val="single" w:color="auto"/>
          <w:color w:val="0000FF"/>
        </w:rPr>
        <w:t xml:space="preserve"> </w:t>
      </w:r>
      <w:hyperlink r:id="rId260">
        <w:r>
          <w:rPr>
            <w:rFonts w:ascii="Times New Roman" w:cs="Times New Roman" w:eastAsia="Times New Roman" w:hAnsi="Times New Roman"/>
            <w:sz w:val="17"/>
            <w:szCs w:val="17"/>
            <w:u w:val="single" w:color="auto"/>
            <w:color w:val="0000FF"/>
          </w:rPr>
          <w:t>dated January 10, 2020, between the Registrant and LG CHEM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-198755</wp:posOffset>
            </wp:positionV>
            <wp:extent cx="31349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31349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-61595</wp:posOffset>
            </wp:positionV>
            <wp:extent cx="31762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3176270" cy="8255"/>
                    </a:xfrm>
                    <a:prstGeom prst="rect">
                      <a:avLst/>
                    </a:prstGeom>
                    <a:noFill/>
                  </pic:spPr>
                </pic:pic>
              </a:graphicData>
            </a:graphic>
          </wp:anchor>
        </w:drawing>
      </w:r>
    </w:p>
    <w:p>
      <w:pPr>
        <w:ind w:left="92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263">
        <w:r>
          <w:rPr>
            <w:rFonts w:ascii="Times New Roman" w:cs="Times New Roman" w:eastAsia="Times New Roman" w:hAnsi="Times New Roman"/>
            <w:sz w:val="18"/>
            <w:szCs w:val="18"/>
            <w:u w:val="single" w:color="auto"/>
            <w:color w:val="0000FF"/>
          </w:rPr>
          <w:t>Sixth Amendment to Collaboration, License and Option Agreement,</w:t>
        </w:r>
      </w:hyperlink>
      <w:r>
        <w:rPr>
          <w:rFonts w:ascii="Times New Roman" w:cs="Times New Roman" w:eastAsia="Times New Roman" w:hAnsi="Times New Roman"/>
          <w:sz w:val="18"/>
          <w:szCs w:val="18"/>
          <w:u w:val="single" w:color="auto"/>
          <w:color w:val="0000FF"/>
        </w:rPr>
        <w:t xml:space="preserve"> </w:t>
      </w:r>
      <w:hyperlink r:id="rId263">
        <w:r>
          <w:rPr>
            <w:rFonts w:ascii="Times New Roman" w:cs="Times New Roman" w:eastAsia="Times New Roman" w:hAnsi="Times New Roman"/>
            <w:sz w:val="18"/>
            <w:szCs w:val="18"/>
            <w:u w:val="single" w:color="auto"/>
            <w:color w:val="0000FF"/>
          </w:rPr>
          <w:t>dated February 14, 2020, between the Registrant and LG CHEM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15404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31540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32334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3233420" cy="8255"/>
                    </a:xfrm>
                    <a:prstGeom prst="rect">
                      <a:avLst/>
                    </a:prstGeom>
                    <a:noFill/>
                  </pic:spPr>
                </pic:pic>
              </a:graphicData>
            </a:graphic>
          </wp:anchor>
        </w:drawing>
      </w:r>
    </w:p>
    <w:p>
      <w:pPr>
        <w:spacing w:after="0" w:line="20" w:lineRule="exact"/>
        <w:rPr>
          <w:sz w:val="20"/>
          <w:szCs w:val="20"/>
          <w:color w:val="auto"/>
        </w:rPr>
      </w:pPr>
    </w:p>
    <w:p>
      <w:pPr>
        <w:ind w:left="920" w:right="440" w:hanging="917"/>
        <w:spacing w:after="0" w:line="266"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266">
        <w:r>
          <w:rPr>
            <w:rFonts w:ascii="Times New Roman" w:cs="Times New Roman" w:eastAsia="Times New Roman" w:hAnsi="Times New Roman"/>
            <w:sz w:val="18"/>
            <w:szCs w:val="18"/>
            <w:u w:val="single" w:color="auto"/>
            <w:color w:val="0000FF"/>
          </w:rPr>
          <w:t>Seventh Amendment to Collaboration, License and Option</w:t>
        </w:r>
      </w:hyperlink>
      <w:r>
        <w:rPr>
          <w:rFonts w:ascii="Times New Roman" w:cs="Times New Roman" w:eastAsia="Times New Roman" w:hAnsi="Times New Roman"/>
          <w:sz w:val="18"/>
          <w:szCs w:val="18"/>
          <w:u w:val="single" w:color="auto"/>
          <w:color w:val="0000FF"/>
        </w:rPr>
        <w:t xml:space="preserve"> </w:t>
      </w:r>
      <w:hyperlink r:id="rId266">
        <w:r>
          <w:rPr>
            <w:rFonts w:ascii="Times New Roman" w:cs="Times New Roman" w:eastAsia="Times New Roman" w:hAnsi="Times New Roman"/>
            <w:sz w:val="18"/>
            <w:szCs w:val="18"/>
            <w:u w:val="single" w:color="auto"/>
            <w:color w:val="0000FF"/>
          </w:rPr>
          <w:t>Agreement, dated May 14, 2020, between the Registrant and LG</w:t>
        </w:r>
      </w:hyperlink>
      <w:r>
        <w:rPr>
          <w:rFonts w:ascii="Times New Roman" w:cs="Times New Roman" w:eastAsia="Times New Roman" w:hAnsi="Times New Roman"/>
          <w:sz w:val="18"/>
          <w:szCs w:val="18"/>
          <w:u w:val="single" w:color="auto"/>
          <w:color w:val="0000FF"/>
        </w:rPr>
        <w:t xml:space="preserve"> </w:t>
      </w:r>
      <w:hyperlink r:id="rId266">
        <w:r>
          <w:rPr>
            <w:rFonts w:ascii="Times New Roman" w:cs="Times New Roman" w:eastAsia="Times New Roman" w:hAnsi="Times New Roman"/>
            <w:sz w:val="18"/>
            <w:szCs w:val="18"/>
            <w:u w:val="single" w:color="auto"/>
            <w:color w:val="0000FF"/>
          </w:rPr>
          <w:t>CHEM LTD.</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-313055</wp:posOffset>
            </wp:positionV>
            <wp:extent cx="27158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27158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-175895</wp:posOffset>
            </wp:positionV>
            <wp:extent cx="29857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298577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-38735</wp:posOffset>
            </wp:positionV>
            <wp:extent cx="5803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580390" cy="8255"/>
                    </a:xfrm>
                    <a:prstGeom prst="rect">
                      <a:avLst/>
                    </a:prstGeom>
                    <a:noFill/>
                  </pic:spPr>
                </pic:pic>
              </a:graphicData>
            </a:graphic>
          </wp:anchor>
        </w:drawing>
      </w:r>
    </w:p>
    <w:p>
      <w:pPr>
        <w:spacing w:after="0" w:line="34" w:lineRule="exact"/>
        <w:rPr>
          <w:rFonts w:ascii="Times New Roman" w:cs="Times New Roman" w:eastAsia="Times New Roman" w:hAnsi="Times New Roman"/>
          <w:sz w:val="18"/>
          <w:szCs w:val="18"/>
          <w:u w:val="single" w:color="auto"/>
          <w:color w:val="0000FF"/>
        </w:rPr>
      </w:pPr>
    </w:p>
    <w:p>
      <w:pPr>
        <w:ind w:left="92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270">
        <w:r>
          <w:rPr>
            <w:rFonts w:ascii="Times New Roman" w:cs="Times New Roman" w:eastAsia="Times New Roman" w:hAnsi="Times New Roman"/>
            <w:sz w:val="18"/>
            <w:szCs w:val="18"/>
            <w:u w:val="single" w:color="auto"/>
            <w:color w:val="0000FF"/>
          </w:rPr>
          <w:t>Eighth Amendment to Collaboration, License and Option Agreement,</w:t>
        </w:r>
      </w:hyperlink>
      <w:r>
        <w:rPr>
          <w:rFonts w:ascii="Times New Roman" w:cs="Times New Roman" w:eastAsia="Times New Roman" w:hAnsi="Times New Roman"/>
          <w:sz w:val="18"/>
          <w:szCs w:val="18"/>
          <w:u w:val="single" w:color="auto"/>
          <w:color w:val="0000FF"/>
        </w:rPr>
        <w:t xml:space="preserve"> </w:t>
      </w:r>
      <w:hyperlink r:id="rId270">
        <w:r>
          <w:rPr>
            <w:rFonts w:ascii="Times New Roman" w:cs="Times New Roman" w:eastAsia="Times New Roman" w:hAnsi="Times New Roman"/>
            <w:sz w:val="18"/>
            <w:szCs w:val="18"/>
            <w:u w:val="single" w:color="auto"/>
            <w:color w:val="0000FF"/>
          </w:rPr>
          <w:t>dated December 7, 2020, between the Registrant and LG CHEM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2175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321754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323278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3232785" cy="8255"/>
                    </a:xfrm>
                    <a:prstGeom prst="rect">
                      <a:avLst/>
                    </a:prstGeom>
                    <a:noFill/>
                  </pic:spPr>
                </pic:pic>
              </a:graphicData>
            </a:graphic>
          </wp:anchor>
        </w:drawing>
      </w:r>
    </w:p>
    <w:p>
      <w:pPr>
        <w:spacing w:after="0" w:line="20" w:lineRule="exact"/>
        <w:rPr>
          <w:sz w:val="20"/>
          <w:szCs w:val="20"/>
          <w:color w:val="auto"/>
        </w:rPr>
      </w:pPr>
    </w:p>
    <w:p>
      <w:pPr>
        <w:ind w:left="920" w:right="14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273">
        <w:r>
          <w:rPr>
            <w:rFonts w:ascii="Times New Roman" w:cs="Times New Roman" w:eastAsia="Times New Roman" w:hAnsi="Times New Roman"/>
            <w:sz w:val="18"/>
            <w:szCs w:val="18"/>
            <w:u w:val="single" w:color="auto"/>
            <w:color w:val="0000FF"/>
          </w:rPr>
          <w:t>Ninth Amendment to Collaboration, License and Option Agreement,</w:t>
        </w:r>
      </w:hyperlink>
      <w:r>
        <w:rPr>
          <w:rFonts w:ascii="Times New Roman" w:cs="Times New Roman" w:eastAsia="Times New Roman" w:hAnsi="Times New Roman"/>
          <w:sz w:val="18"/>
          <w:szCs w:val="18"/>
          <w:u w:val="single" w:color="auto"/>
          <w:color w:val="0000FF"/>
        </w:rPr>
        <w:t xml:space="preserve"> </w:t>
      </w:r>
      <w:hyperlink r:id="rId273">
        <w:r>
          <w:rPr>
            <w:rFonts w:ascii="Times New Roman" w:cs="Times New Roman" w:eastAsia="Times New Roman" w:hAnsi="Times New Roman"/>
            <w:sz w:val="18"/>
            <w:szCs w:val="18"/>
            <w:u w:val="single" w:color="auto"/>
            <w:color w:val="0000FF"/>
          </w:rPr>
          <w:t>dated March 6, 2025, between the Registrant and LG CHEM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1730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31730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30619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3061970" cy="8255"/>
                    </a:xfrm>
                    <a:prstGeom prst="rect">
                      <a:avLst/>
                    </a:prstGeom>
                    <a:noFill/>
                  </pic:spPr>
                </pic:pic>
              </a:graphicData>
            </a:graphic>
          </wp:anchor>
        </w:drawing>
      </w:r>
    </w:p>
    <w:p>
      <w:pPr>
        <w:spacing w:after="0" w:line="20" w:lineRule="exact"/>
        <w:rPr>
          <w:sz w:val="20"/>
          <w:szCs w:val="20"/>
          <w:color w:val="auto"/>
        </w:rPr>
      </w:pPr>
    </w:p>
    <w:p>
      <w:pPr>
        <w:ind w:left="920" w:right="26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276">
        <w:r>
          <w:rPr>
            <w:rFonts w:ascii="Times New Roman" w:cs="Times New Roman" w:eastAsia="Times New Roman" w:hAnsi="Times New Roman"/>
            <w:sz w:val="18"/>
            <w:szCs w:val="18"/>
            <w:u w:val="single" w:color="auto"/>
            <w:color w:val="0000FF"/>
          </w:rPr>
          <w:t>Form of Indemnification Agreement between the Registrant and its</w:t>
        </w:r>
      </w:hyperlink>
      <w:r>
        <w:rPr>
          <w:rFonts w:ascii="Times New Roman" w:cs="Times New Roman" w:eastAsia="Times New Roman" w:hAnsi="Times New Roman"/>
          <w:sz w:val="18"/>
          <w:szCs w:val="18"/>
          <w:u w:val="single" w:color="auto"/>
          <w:color w:val="0000FF"/>
        </w:rPr>
        <w:t xml:space="preserve"> </w:t>
      </w:r>
      <w:hyperlink r:id="rId276">
        <w:r>
          <w:rPr>
            <w:rFonts w:ascii="Times New Roman" w:cs="Times New Roman" w:eastAsia="Times New Roman" w:hAnsi="Times New Roman"/>
            <w:sz w:val="18"/>
            <w:szCs w:val="18"/>
            <w:u w:val="single" w:color="auto"/>
            <w:color w:val="0000FF"/>
          </w:rPr>
          <w:t>directors and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1000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310007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9709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20" w:lineRule="exact"/>
        <w:rPr>
          <w:sz w:val="20"/>
          <w:szCs w:val="20"/>
          <w:color w:val="auto"/>
        </w:rPr>
      </w:pPr>
    </w:p>
    <w:p>
      <w:pPr>
        <w:ind w:left="920" w:right="340" w:hanging="917"/>
        <w:spacing w:after="0" w:line="266"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279">
        <w:r>
          <w:rPr>
            <w:rFonts w:ascii="Times New Roman" w:cs="Times New Roman" w:eastAsia="Times New Roman" w:hAnsi="Times New Roman"/>
            <w:sz w:val="18"/>
            <w:szCs w:val="18"/>
            <w:u w:val="single" w:color="auto"/>
            <w:color w:val="0000FF"/>
          </w:rPr>
          <w:t>Amended and Restated License Agreement by and between the</w:t>
        </w:r>
      </w:hyperlink>
      <w:r>
        <w:rPr>
          <w:rFonts w:ascii="Times New Roman" w:cs="Times New Roman" w:eastAsia="Times New Roman" w:hAnsi="Times New Roman"/>
          <w:sz w:val="18"/>
          <w:szCs w:val="18"/>
          <w:u w:val="single" w:color="auto"/>
          <w:color w:val="0000FF"/>
        </w:rPr>
        <w:t xml:space="preserve"> </w:t>
      </w:r>
      <w:hyperlink r:id="rId279">
        <w:r>
          <w:rPr>
            <w:rFonts w:ascii="Times New Roman" w:cs="Times New Roman" w:eastAsia="Times New Roman" w:hAnsi="Times New Roman"/>
            <w:sz w:val="18"/>
            <w:szCs w:val="18"/>
            <w:u w:val="single" w:color="auto"/>
            <w:color w:val="0000FF"/>
          </w:rPr>
          <w:t>Registrant and Albert Einstein College of Medicine dated July 31,</w:t>
        </w:r>
      </w:hyperlink>
      <w:r>
        <w:rPr>
          <w:rFonts w:ascii="Times New Roman" w:cs="Times New Roman" w:eastAsia="Times New Roman" w:hAnsi="Times New Roman"/>
          <w:sz w:val="18"/>
          <w:szCs w:val="18"/>
          <w:u w:val="single" w:color="auto"/>
          <w:color w:val="0000FF"/>
        </w:rPr>
        <w:t xml:space="preserve"> </w:t>
      </w:r>
      <w:hyperlink r:id="rId279">
        <w:r>
          <w:rPr>
            <w:rFonts w:ascii="Times New Roman" w:cs="Times New Roman" w:eastAsia="Times New Roman" w:hAnsi="Times New Roman"/>
            <w:sz w:val="18"/>
            <w:szCs w:val="18"/>
            <w:u w:val="single" w:color="auto"/>
            <w:color w:val="0000FF"/>
          </w:rPr>
          <w:t>2017</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588010</wp:posOffset>
            </wp:positionH>
            <wp:positionV relativeFrom="paragraph">
              <wp:posOffset>-313055</wp:posOffset>
            </wp:positionV>
            <wp:extent cx="29216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292163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-175895</wp:posOffset>
            </wp:positionV>
            <wp:extent cx="30492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304927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-38735</wp:posOffset>
            </wp:positionV>
            <wp:extent cx="2286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34" w:lineRule="exact"/>
        <w:rPr>
          <w:rFonts w:ascii="Times New Roman" w:cs="Times New Roman" w:eastAsia="Times New Roman" w:hAnsi="Times New Roman"/>
          <w:sz w:val="18"/>
          <w:szCs w:val="18"/>
          <w:u w:val="single" w:color="auto"/>
          <w:color w:val="0000FF"/>
        </w:rPr>
      </w:pPr>
    </w:p>
    <w:p>
      <w:pPr>
        <w:ind w:left="920" w:right="360" w:hanging="917"/>
        <w:spacing w:after="0" w:line="312" w:lineRule="auto"/>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283">
        <w:r>
          <w:rPr>
            <w:rFonts w:ascii="Times New Roman" w:cs="Times New Roman" w:eastAsia="Times New Roman" w:hAnsi="Times New Roman"/>
            <w:sz w:val="17"/>
            <w:szCs w:val="17"/>
            <w:u w:val="single" w:color="auto"/>
            <w:color w:val="0000FF"/>
          </w:rPr>
          <w:t>Collaboration and License Agreement between the Registrant and</w:t>
        </w:r>
      </w:hyperlink>
      <w:r>
        <w:rPr>
          <w:rFonts w:ascii="Times New Roman" w:cs="Times New Roman" w:eastAsia="Times New Roman" w:hAnsi="Times New Roman"/>
          <w:sz w:val="17"/>
          <w:szCs w:val="17"/>
          <w:u w:val="single" w:color="auto"/>
          <w:color w:val="0000FF"/>
        </w:rPr>
        <w:t xml:space="preserve"> </w:t>
      </w:r>
      <w:hyperlink r:id="rId283">
        <w:r>
          <w:rPr>
            <w:rFonts w:ascii="Times New Roman" w:cs="Times New Roman" w:eastAsia="Times New Roman" w:hAnsi="Times New Roman"/>
            <w:sz w:val="17"/>
            <w:szCs w:val="17"/>
            <w:u w:val="single" w:color="auto"/>
            <w:color w:val="0000FF"/>
          </w:rPr>
          <w:t>Boehringer Ingelheim International GmbH dated April 10,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-198755</wp:posOffset>
            </wp:positionV>
            <wp:extent cx="303911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303911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-61595</wp:posOffset>
            </wp:positionV>
            <wp:extent cx="29317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286">
        <w:r>
          <w:rPr>
            <w:rFonts w:ascii="Times New Roman" w:cs="Times New Roman" w:eastAsia="Times New Roman" w:hAnsi="Times New Roman"/>
            <w:sz w:val="17"/>
            <w:szCs w:val="17"/>
            <w:u w:val="single" w:color="auto"/>
            <w:color w:val="0000FF"/>
          </w:rPr>
          <w:t>Cue Biopharma, Inc. 2025 Stock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1831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2183130" cy="8255"/>
                    </a:xfrm>
                    <a:prstGeom prst="rect">
                      <a:avLst/>
                    </a:prstGeom>
                    <a:noFill/>
                  </pic:spPr>
                </pic:pic>
              </a:graphicData>
            </a:graphic>
          </wp:anchor>
        </w:drawing>
      </w:r>
    </w:p>
    <w:p>
      <w:pPr>
        <w:spacing w:after="0" w:line="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u w:val="single" w:color="auto"/>
          <w:color w:val="0000FF"/>
        </w:rPr>
        <w:t>Form of incentive stock option award under 2025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32365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3236595" cy="8255"/>
                    </a:xfrm>
                    <a:prstGeom prst="rect">
                      <a:avLst/>
                    </a:prstGeom>
                    <a:noFill/>
                  </pic:spPr>
                </pic:pic>
              </a:graphicData>
            </a:graphic>
          </wp:anchor>
        </w:drawing>
      </w:r>
    </w:p>
    <w:p>
      <w:pPr>
        <w:spacing w:after="0" w:line="84" w:lineRule="exact"/>
        <w:rPr>
          <w:sz w:val="20"/>
          <w:szCs w:val="20"/>
          <w:color w:val="auto"/>
        </w:rPr>
      </w:pPr>
    </w:p>
    <w:p>
      <w:pPr>
        <w:ind w:left="920" w:right="6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u w:val="single" w:color="auto"/>
          <w:color w:val="0000FF"/>
        </w:rPr>
        <w:t>Form of non-qualified stock option award under 2025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23024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32302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2032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0">
                      <a:extLst>
                        <a:ext uri="{28A0092B-C50C-407E-A947-70E740481C1C}"/>
                      </a:extLst>
                    </a:blip>
                    <a:srcRect/>
                    <a:stretch>
                      <a:fillRect/>
                    </a:stretch>
                  </pic:blipFill>
                  <pic:spPr bwMode="auto">
                    <a:xfrm>
                      <a:off x="0" y="0"/>
                      <a:ext cx="203200" cy="8255"/>
                    </a:xfrm>
                    <a:prstGeom prst="rect">
                      <a:avLst/>
                    </a:prstGeom>
                    <a:noFill/>
                  </pic:spPr>
                </pic:pic>
              </a:graphicData>
            </a:graphic>
          </wp:anchor>
        </w:drawing>
      </w:r>
    </w:p>
    <w:p>
      <w:pPr>
        <w:spacing w:after="0" w:line="20" w:lineRule="exact"/>
        <w:rPr>
          <w:sz w:val="20"/>
          <w:szCs w:val="20"/>
          <w:color w:val="auto"/>
        </w:rPr>
      </w:pPr>
    </w:p>
    <w:p>
      <w:pPr>
        <w:ind w:left="920" w:right="16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291">
        <w:r>
          <w:rPr>
            <w:rFonts w:ascii="Times New Roman" w:cs="Times New Roman" w:eastAsia="Times New Roman" w:hAnsi="Times New Roman"/>
            <w:sz w:val="18"/>
            <w:szCs w:val="18"/>
            <w:u w:val="single" w:color="auto"/>
            <w:color w:val="0000FF"/>
          </w:rPr>
          <w:t>Cue Biopharma, Inc. 2016 Omnibus Incentive Plan, as amended and</w:t>
        </w:r>
      </w:hyperlink>
      <w:r>
        <w:rPr>
          <w:rFonts w:ascii="Times New Roman" w:cs="Times New Roman" w:eastAsia="Times New Roman" w:hAnsi="Times New Roman"/>
          <w:sz w:val="18"/>
          <w:szCs w:val="18"/>
          <w:u w:val="single" w:color="auto"/>
          <w:color w:val="0000FF"/>
        </w:rPr>
        <w:t xml:space="preserve"> </w:t>
      </w:r>
      <w:hyperlink r:id="rId291">
        <w:r>
          <w:rPr>
            <w:rFonts w:ascii="Times New Roman" w:cs="Times New Roman" w:eastAsia="Times New Roman" w:hAnsi="Times New Roman"/>
            <w:sz w:val="18"/>
            <w:szCs w:val="18"/>
            <w:u w:val="single" w:color="auto"/>
            <w:color w:val="0000FF"/>
          </w:rPr>
          <w:t>restated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1572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2">
                      <a:extLst>
                        <a:ext uri="{28A0092B-C50C-407E-A947-70E740481C1C}"/>
                      </a:extLst>
                    </a:blip>
                    <a:srcRect/>
                    <a:stretch>
                      <a:fillRect/>
                    </a:stretch>
                  </pic:blipFill>
                  <pic:spPr bwMode="auto">
                    <a:xfrm>
                      <a:off x="0" y="0"/>
                      <a:ext cx="31572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35496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3">
                      <a:extLst>
                        <a:ext uri="{28A0092B-C50C-407E-A947-70E740481C1C}"/>
                      </a:extLst>
                    </a:blip>
                    <a:srcRect/>
                    <a:stretch>
                      <a:fillRect/>
                    </a:stretch>
                  </pic:blipFill>
                  <pic:spPr bwMode="auto">
                    <a:xfrm>
                      <a:off x="0" y="0"/>
                      <a:ext cx="354965" cy="8890"/>
                    </a:xfrm>
                    <a:prstGeom prst="rect">
                      <a:avLst/>
                    </a:prstGeom>
                    <a:noFill/>
                  </pic:spPr>
                </pic:pic>
              </a:graphicData>
            </a:graphic>
          </wp:anchor>
        </w:drawing>
      </w:r>
    </w:p>
    <w:p>
      <w:pPr>
        <w:spacing w:after="0" w:line="20" w:lineRule="exact"/>
        <w:rPr>
          <w:sz w:val="20"/>
          <w:szCs w:val="20"/>
          <w:color w:val="auto"/>
        </w:rPr>
      </w:pPr>
    </w:p>
    <w:p>
      <w:pPr>
        <w:spacing w:after="0"/>
        <w:tabs>
          <w:tab w:leader="none" w:pos="9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294">
        <w:r>
          <w:rPr>
            <w:rFonts w:ascii="Times New Roman" w:cs="Times New Roman" w:eastAsia="Times New Roman" w:hAnsi="Times New Roman"/>
            <w:sz w:val="17"/>
            <w:szCs w:val="17"/>
            <w:u w:val="single" w:color="auto"/>
            <w:color w:val="0000FF"/>
          </w:rPr>
          <w:t>Form of stock option award under 2016 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9476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extLst>
                        <a:ext uri="{28A0092B-C50C-407E-A947-70E740481C1C}"/>
                      </a:extLst>
                    </a:blip>
                    <a:srcRect/>
                    <a:stretch>
                      <a:fillRect/>
                    </a:stretch>
                  </pic:blipFill>
                  <pic:spPr bwMode="auto">
                    <a:xfrm>
                      <a:off x="0" y="0"/>
                      <a:ext cx="2947670" cy="8890"/>
                    </a:xfrm>
                    <a:prstGeom prst="rect">
                      <a:avLst/>
                    </a:prstGeom>
                    <a:noFill/>
                  </pic:spPr>
                </pic:pic>
              </a:graphicData>
            </a:graphic>
          </wp:anchor>
        </w:drawing>
      </w:r>
    </w:p>
    <w:p>
      <w:pPr>
        <w:spacing w:after="0" w:line="84" w:lineRule="exact"/>
        <w:rPr>
          <w:sz w:val="20"/>
          <w:szCs w:val="20"/>
          <w:color w:val="auto"/>
        </w:rPr>
      </w:pPr>
    </w:p>
    <w:p>
      <w:pPr>
        <w:spacing w:after="0"/>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296">
        <w:r>
          <w:rPr>
            <w:rFonts w:ascii="Times New Roman" w:cs="Times New Roman" w:eastAsia="Times New Roman" w:hAnsi="Times New Roman"/>
            <w:sz w:val="18"/>
            <w:szCs w:val="18"/>
            <w:u w:val="single" w:color="auto"/>
            <w:color w:val="0000FF"/>
          </w:rPr>
          <w:t>Cue Biopharma, Inc. 2016 Non-Employee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9540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2954020" cy="8255"/>
                    </a:xfrm>
                    <a:prstGeom prst="rect">
                      <a:avLst/>
                    </a:prstGeom>
                    <a:noFill/>
                  </pic:spPr>
                </pic:pic>
              </a:graphicData>
            </a:graphic>
          </wp:anchor>
        </w:drawing>
      </w:r>
    </w:p>
    <w:p>
      <w:pPr>
        <w:spacing w:after="0" w:line="84" w:lineRule="exact"/>
        <w:rPr>
          <w:sz w:val="20"/>
          <w:szCs w:val="20"/>
          <w:color w:val="auto"/>
        </w:rPr>
      </w:pPr>
    </w:p>
    <w:p>
      <w:pPr>
        <w:ind w:left="920" w:right="56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298">
        <w:r>
          <w:rPr>
            <w:rFonts w:ascii="Times New Roman" w:cs="Times New Roman" w:eastAsia="Times New Roman" w:hAnsi="Times New Roman"/>
            <w:sz w:val="18"/>
            <w:szCs w:val="18"/>
            <w:u w:val="single" w:color="auto"/>
            <w:color w:val="0000FF"/>
          </w:rPr>
          <w:t>Form of stock option award under 2016 Non-Employee Equity</w:t>
        </w:r>
      </w:hyperlink>
      <w:r>
        <w:rPr>
          <w:rFonts w:ascii="Times New Roman" w:cs="Times New Roman" w:eastAsia="Times New Roman" w:hAnsi="Times New Roman"/>
          <w:sz w:val="18"/>
          <w:szCs w:val="18"/>
          <w:u w:val="single" w:color="auto"/>
          <w:color w:val="0000FF"/>
        </w:rPr>
        <w:t xml:space="preserve"> </w:t>
      </w:r>
      <w:hyperlink r:id="rId298">
        <w:r>
          <w:rPr>
            <w:rFonts w:ascii="Times New Roman" w:cs="Times New Roman" w:eastAsia="Times New Roman" w:hAnsi="Times New Roman"/>
            <w:sz w:val="18"/>
            <w:szCs w:val="18"/>
            <w:u w:val="single" w:color="auto"/>
            <w:color w:val="0000FF"/>
          </w:rPr>
          <w:t>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29032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29032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6565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656590" cy="8255"/>
                    </a:xfrm>
                    <a:prstGeom prst="rect">
                      <a:avLst/>
                    </a:prstGeom>
                    <a:noFill/>
                  </pic:spPr>
                </pic:pic>
              </a:graphicData>
            </a:graphic>
          </wp:anchor>
        </w:drawing>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u w:val="single" w:color="auto"/>
          <w:color w:val="0000FF"/>
        </w:rPr>
        <w:t>Director Compensation Policy effective December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2687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2687320" cy="8890"/>
                    </a:xfrm>
                    <a:prstGeom prst="rect">
                      <a:avLst/>
                    </a:prstGeom>
                    <a:noFill/>
                  </pic:spPr>
                </pic:pic>
              </a:graphicData>
            </a:graphic>
          </wp:anchor>
        </w:drawing>
      </w:r>
    </w:p>
    <w:p>
      <w:pPr>
        <w:spacing w:after="0" w:line="84" w:lineRule="exact"/>
        <w:rPr>
          <w:sz w:val="20"/>
          <w:szCs w:val="20"/>
          <w:color w:val="auto"/>
        </w:rPr>
      </w:pPr>
    </w:p>
    <w:p>
      <w:pPr>
        <w:ind w:left="920" w:right="12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302">
        <w:r>
          <w:rPr>
            <w:rFonts w:ascii="Times New Roman" w:cs="Times New Roman" w:eastAsia="Times New Roman" w:hAnsi="Times New Roman"/>
            <w:sz w:val="18"/>
            <w:szCs w:val="18"/>
            <w:u w:val="single" w:color="auto"/>
            <w:color w:val="0000FF"/>
          </w:rPr>
          <w:t>Executive Employment Agreement between the Registrant and Colin</w:t>
        </w:r>
      </w:hyperlink>
      <w:r>
        <w:rPr>
          <w:rFonts w:ascii="Times New Roman" w:cs="Times New Roman" w:eastAsia="Times New Roman" w:hAnsi="Times New Roman"/>
          <w:sz w:val="18"/>
          <w:szCs w:val="18"/>
          <w:u w:val="single" w:color="auto"/>
          <w:color w:val="0000FF"/>
        </w:rPr>
        <w:t xml:space="preserve"> </w:t>
      </w:r>
      <w:hyperlink r:id="rId302">
        <w:r>
          <w:rPr>
            <w:rFonts w:ascii="Times New Roman" w:cs="Times New Roman" w:eastAsia="Times New Roman" w:hAnsi="Times New Roman"/>
            <w:sz w:val="18"/>
            <w:szCs w:val="18"/>
            <w:u w:val="single" w:color="auto"/>
            <w:color w:val="0000FF"/>
          </w:rPr>
          <w:t>G. Sandercock dated as of November 15,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19151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3">
                      <a:extLst>
                        <a:ext uri="{28A0092B-C50C-407E-A947-70E740481C1C}"/>
                      </a:extLst>
                    </a:blip>
                    <a:srcRect/>
                    <a:stretch>
                      <a:fillRect/>
                    </a:stretch>
                  </pic:blipFill>
                  <pic:spPr bwMode="auto">
                    <a:xfrm>
                      <a:off x="0" y="0"/>
                      <a:ext cx="319151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21355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4">
                      <a:extLst>
                        <a:ext uri="{28A0092B-C50C-407E-A947-70E740481C1C}"/>
                      </a:extLst>
                    </a:blip>
                    <a:srcRect/>
                    <a:stretch>
                      <a:fillRect/>
                    </a:stretch>
                  </pic:blipFill>
                  <pic:spPr bwMode="auto">
                    <a:xfrm>
                      <a:off x="0" y="0"/>
                      <a:ext cx="2135505" cy="8255"/>
                    </a:xfrm>
                    <a:prstGeom prst="rect">
                      <a:avLst/>
                    </a:prstGeom>
                    <a:noFill/>
                  </pic:spPr>
                </pic:pic>
              </a:graphicData>
            </a:graphic>
          </wp:anchor>
        </w:drawing>
      </w:r>
    </w:p>
    <w:p>
      <w:pPr>
        <w:spacing w:after="0" w:line="20" w:lineRule="exact"/>
        <w:rPr>
          <w:sz w:val="20"/>
          <w:szCs w:val="20"/>
          <w:color w:val="auto"/>
        </w:rPr>
      </w:pPr>
    </w:p>
    <w:p>
      <w:pPr>
        <w:ind w:left="920" w:right="6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305">
        <w:r>
          <w:rPr>
            <w:rFonts w:ascii="Times New Roman" w:cs="Times New Roman" w:eastAsia="Times New Roman" w:hAnsi="Times New Roman"/>
            <w:sz w:val="18"/>
            <w:szCs w:val="18"/>
            <w:u w:val="single" w:color="auto"/>
            <w:color w:val="0000FF"/>
          </w:rPr>
          <w:t>Collaboration, License and Option Agreement between the Registrant</w:t>
        </w:r>
      </w:hyperlink>
      <w:r>
        <w:rPr>
          <w:rFonts w:ascii="Times New Roman" w:cs="Times New Roman" w:eastAsia="Times New Roman" w:hAnsi="Times New Roman"/>
          <w:sz w:val="18"/>
          <w:szCs w:val="18"/>
          <w:u w:val="single" w:color="auto"/>
          <w:color w:val="0000FF"/>
        </w:rPr>
        <w:t xml:space="preserve"> </w:t>
      </w:r>
      <w:hyperlink r:id="rId305">
        <w:r>
          <w:rPr>
            <w:rFonts w:ascii="Times New Roman" w:cs="Times New Roman" w:eastAsia="Times New Roman" w:hAnsi="Times New Roman"/>
            <w:sz w:val="18"/>
            <w:szCs w:val="18"/>
            <w:u w:val="single" w:color="auto"/>
            <w:color w:val="0000FF"/>
          </w:rPr>
          <w:t>and LG Chem, Ltd. dated November 6,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22008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6">
                      <a:extLst>
                        <a:ext uri="{28A0092B-C50C-407E-A947-70E740481C1C}"/>
                      </a:extLst>
                    </a:blip>
                    <a:srcRect/>
                    <a:stretch>
                      <a:fillRect/>
                    </a:stretch>
                  </pic:blipFill>
                  <pic:spPr bwMode="auto">
                    <a:xfrm>
                      <a:off x="0" y="0"/>
                      <a:ext cx="32200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20497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7">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0" w:lineRule="exact"/>
        <w:rPr>
          <w:sz w:val="20"/>
          <w:szCs w:val="20"/>
          <w:color w:val="auto"/>
        </w:rPr>
      </w:pPr>
    </w:p>
    <w:p>
      <w:pPr>
        <w:ind w:left="920" w:right="20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308">
        <w:r>
          <w:rPr>
            <w:rFonts w:ascii="Times New Roman" w:cs="Times New Roman" w:eastAsia="Times New Roman" w:hAnsi="Times New Roman"/>
            <w:sz w:val="18"/>
            <w:szCs w:val="18"/>
            <w:u w:val="single" w:color="auto"/>
            <w:color w:val="0000FF"/>
          </w:rPr>
          <w:t>Amendment No. 1 to Cue Biopharma, Inc. 2016 Omnibus Incentive</w:t>
        </w:r>
      </w:hyperlink>
      <w:r>
        <w:rPr>
          <w:rFonts w:ascii="Times New Roman" w:cs="Times New Roman" w:eastAsia="Times New Roman" w:hAnsi="Times New Roman"/>
          <w:sz w:val="18"/>
          <w:szCs w:val="18"/>
          <w:u w:val="single" w:color="auto"/>
          <w:color w:val="0000FF"/>
        </w:rPr>
        <w:t xml:space="preserve"> </w:t>
      </w:r>
      <w:hyperlink r:id="rId308">
        <w:r>
          <w:rPr>
            <w:rFonts w:ascii="Times New Roman" w:cs="Times New Roman" w:eastAsia="Times New Roman" w:hAnsi="Times New Roman"/>
            <w:sz w:val="18"/>
            <w:szCs w:val="18"/>
            <w:u w:val="single" w:color="auto"/>
            <w:color w:val="0000FF"/>
          </w:rPr>
          <w:t>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1318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9">
                      <a:extLst>
                        <a:ext uri="{28A0092B-C50C-407E-A947-70E740481C1C}"/>
                      </a:extLst>
                    </a:blip>
                    <a:srcRect/>
                    <a:stretch>
                      <a:fillRect/>
                    </a:stretch>
                  </pic:blipFill>
                  <pic:spPr bwMode="auto">
                    <a:xfrm>
                      <a:off x="0" y="0"/>
                      <a:ext cx="31318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20320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0">
                      <a:extLst>
                        <a:ext uri="{28A0092B-C50C-407E-A947-70E740481C1C}"/>
                      </a:extLst>
                    </a:blip>
                    <a:srcRect/>
                    <a:stretch>
                      <a:fillRect/>
                    </a:stretch>
                  </pic:blipFill>
                  <pic:spPr bwMode="auto">
                    <a:xfrm>
                      <a:off x="0" y="0"/>
                      <a:ext cx="203200" cy="8255"/>
                    </a:xfrm>
                    <a:prstGeom prst="rect">
                      <a:avLst/>
                    </a:prstGeom>
                    <a:noFill/>
                  </pic:spPr>
                </pic:pic>
              </a:graphicData>
            </a:graphic>
          </wp:anchor>
        </w:drawing>
      </w:r>
    </w:p>
    <w:p>
      <w:pPr>
        <w:spacing w:after="0" w:line="2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03/09/2021</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001-38327</w:t>
            </w:r>
          </w:p>
        </w:tc>
      </w:tr>
      <w:tr>
        <w:trPr>
          <w:trHeight w:val="527"/>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03/09/2021</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001-38327</w:t>
            </w:r>
          </w:p>
        </w:tc>
      </w:tr>
      <w:tr>
        <w:trPr>
          <w:trHeight w:val="527"/>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03/09/2021</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001-38327</w:t>
            </w:r>
          </w:p>
        </w:tc>
      </w:tr>
      <w:tr>
        <w:trPr>
          <w:trHeight w:val="743"/>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03/09/2021</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001-38327</w:t>
            </w:r>
          </w:p>
        </w:tc>
      </w:tr>
      <w:tr>
        <w:trPr>
          <w:trHeight w:val="527"/>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03/31/2025</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001-38327</w:t>
            </w:r>
          </w:p>
        </w:tc>
      </w:tr>
      <w:tr>
        <w:trPr>
          <w:trHeight w:val="526"/>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03/31/2025</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001-38327</w:t>
            </w:r>
          </w:p>
        </w:tc>
      </w:tr>
      <w:tr>
        <w:trPr>
          <w:trHeight w:val="527"/>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12/13/2017</w:t>
            </w:r>
          </w:p>
        </w:tc>
        <w:tc>
          <w:tcPr>
            <w:tcW w:w="11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333-220550</w:t>
            </w:r>
          </w:p>
        </w:tc>
      </w:tr>
      <w:tr>
        <w:trPr>
          <w:trHeight w:val="743"/>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05/12/2025</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001-38327</w:t>
            </w:r>
          </w:p>
        </w:tc>
      </w:tr>
      <w:tr>
        <w:trPr>
          <w:trHeight w:val="527"/>
        </w:trPr>
        <w:tc>
          <w:tcPr>
            <w:tcW w:w="12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06/10/2025</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001-38327</w:t>
            </w:r>
          </w:p>
        </w:tc>
      </w:tr>
      <w:tr>
        <w:trPr>
          <w:trHeight w:val="31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26"/>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09/21/2017</w:t>
            </w:r>
          </w:p>
        </w:tc>
        <w:tc>
          <w:tcPr>
            <w:tcW w:w="11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333-220550</w:t>
            </w:r>
          </w:p>
        </w:tc>
      </w:tr>
      <w:tr>
        <w:trPr>
          <w:trHeight w:val="527"/>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08/14/2024</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001-38327</w:t>
            </w:r>
          </w:p>
        </w:tc>
      </w:tr>
      <w:tr>
        <w:trPr>
          <w:trHeight w:val="310"/>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09/21/2017</w:t>
            </w:r>
          </w:p>
        </w:tc>
        <w:tc>
          <w:tcPr>
            <w:tcW w:w="11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333-220550</w:t>
            </w:r>
          </w:p>
        </w:tc>
      </w:tr>
      <w:tr>
        <w:trPr>
          <w:trHeight w:val="310"/>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08/14/2024</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001-38327</w:t>
            </w:r>
          </w:p>
        </w:tc>
      </w:tr>
      <w:tr>
        <w:trPr>
          <w:trHeight w:val="52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0"/>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S-1</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12/04/2017</w:t>
            </w:r>
          </w:p>
        </w:tc>
        <w:tc>
          <w:tcPr>
            <w:tcW w:w="11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333-220550</w:t>
            </w:r>
          </w:p>
        </w:tc>
      </w:tr>
      <w:tr>
        <w:trPr>
          <w:trHeight w:val="526"/>
        </w:trPr>
        <w:tc>
          <w:tcPr>
            <w:tcW w:w="12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12/26/2018</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001-38327</w:t>
            </w:r>
          </w:p>
        </w:tc>
      </w:tr>
      <w:tr>
        <w:trPr>
          <w:trHeight w:val="527"/>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03/12/2020</w:t>
            </w: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001-38327</w:t>
            </w:r>
          </w:p>
        </w:tc>
      </w:tr>
    </w:tbl>
    <w:p>
      <w:pPr>
        <w:sectPr>
          <w:pgSz w:w="11900" w:h="16838" w:orient="portrait"/>
          <w:cols w:equalWidth="0" w:num="2">
            <w:col w:w="6020" w:space="340"/>
            <w:col w:w="4680"/>
          </w:cols>
          <w:pgMar w:left="320" w:top="1174" w:right="539" w:bottom="1440" w:gutter="0" w:footer="0" w:header="0"/>
        </w:sectPr>
      </w:pPr>
    </w:p>
    <w:bookmarkStart w:id="141" w:name="page142"/>
    <w:bookmarkEnd w:id="141"/>
    <w:p>
      <w:pPr>
        <w:ind w:left="920" w:right="40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312">
        <w:r>
          <w:rPr>
            <w:rFonts w:ascii="Times New Roman" w:cs="Times New Roman" w:eastAsia="Times New Roman" w:hAnsi="Times New Roman"/>
            <w:sz w:val="18"/>
            <w:szCs w:val="18"/>
            <w:u w:val="single" w:color="auto"/>
            <w:color w:val="0000FF"/>
          </w:rPr>
          <w:t>Third Amended and Restated Executive Employment Agreement</w:t>
        </w:r>
      </w:hyperlink>
      <w:r>
        <w:rPr>
          <w:rFonts w:ascii="Times New Roman" w:cs="Times New Roman" w:eastAsia="Times New Roman" w:hAnsi="Times New Roman"/>
          <w:sz w:val="18"/>
          <w:szCs w:val="18"/>
          <w:u w:val="single" w:color="auto"/>
          <w:color w:val="0000FF"/>
        </w:rPr>
        <w:t xml:space="preserve"> </w:t>
      </w:r>
      <w:hyperlink r:id="rId312">
        <w:r>
          <w:rPr>
            <w:rFonts w:ascii="Times New Roman" w:cs="Times New Roman" w:eastAsia="Times New Roman" w:hAnsi="Times New Roman"/>
            <w:sz w:val="18"/>
            <w:szCs w:val="18"/>
            <w:u w:val="single" w:color="auto"/>
            <w:color w:val="0000FF"/>
          </w:rPr>
          <w:t>dated March 4, 2021 between the Company and Daniel Passeri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0105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30105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28746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2874645" cy="8255"/>
                    </a:xfrm>
                    <a:prstGeom prst="rect">
                      <a:avLst/>
                    </a:prstGeom>
                    <a:noFill/>
                  </pic:spPr>
                </pic:pic>
              </a:graphicData>
            </a:graphic>
          </wp:anchor>
        </w:drawing>
      </w:r>
    </w:p>
    <w:p>
      <w:pPr>
        <w:spacing w:after="0" w:line="20" w:lineRule="exact"/>
        <w:rPr>
          <w:sz w:val="20"/>
          <w:szCs w:val="20"/>
          <w:color w:val="auto"/>
        </w:rPr>
      </w:pPr>
    </w:p>
    <w:p>
      <w:pPr>
        <w:ind w:left="920" w:right="24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315">
        <w:r>
          <w:rPr>
            <w:rFonts w:ascii="Times New Roman" w:cs="Times New Roman" w:eastAsia="Times New Roman" w:hAnsi="Times New Roman"/>
            <w:sz w:val="18"/>
            <w:szCs w:val="18"/>
            <w:u w:val="single" w:color="auto"/>
            <w:color w:val="0000FF"/>
          </w:rPr>
          <w:t>Executive Employment Agreement dated August 21, 2020 between</w:t>
        </w:r>
      </w:hyperlink>
      <w:r>
        <w:rPr>
          <w:rFonts w:ascii="Times New Roman" w:cs="Times New Roman" w:eastAsia="Times New Roman" w:hAnsi="Times New Roman"/>
          <w:sz w:val="18"/>
          <w:szCs w:val="18"/>
          <w:u w:val="single" w:color="auto"/>
          <w:color w:val="0000FF"/>
        </w:rPr>
        <w:t xml:space="preserve"> </w:t>
      </w:r>
      <w:hyperlink r:id="rId315">
        <w:r>
          <w:rPr>
            <w:rFonts w:ascii="Times New Roman" w:cs="Times New Roman" w:eastAsia="Times New Roman" w:hAnsi="Times New Roman"/>
            <w:sz w:val="18"/>
            <w:szCs w:val="18"/>
            <w:u w:val="single" w:color="auto"/>
            <w:color w:val="0000FF"/>
          </w:rPr>
          <w:t>Registrant and Kerri-Ann Millar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1127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6">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14814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7">
                      <a:extLst>
                        <a:ext uri="{28A0092B-C50C-407E-A947-70E740481C1C}"/>
                      </a:extLst>
                    </a:blip>
                    <a:srcRect/>
                    <a:stretch>
                      <a:fillRect/>
                    </a:stretch>
                  </pic:blipFill>
                  <pic:spPr bwMode="auto">
                    <a:xfrm>
                      <a:off x="0" y="0"/>
                      <a:ext cx="1481455" cy="8255"/>
                    </a:xfrm>
                    <a:prstGeom prst="rect">
                      <a:avLst/>
                    </a:prstGeom>
                    <a:noFill/>
                  </pic:spPr>
                </pic:pic>
              </a:graphicData>
            </a:graphic>
          </wp:anchor>
        </w:drawing>
      </w:r>
    </w:p>
    <w:p>
      <w:pPr>
        <w:spacing w:after="0" w:line="20" w:lineRule="exact"/>
        <w:rPr>
          <w:sz w:val="20"/>
          <w:szCs w:val="20"/>
          <w:color w:val="auto"/>
        </w:rPr>
      </w:pPr>
    </w:p>
    <w:p>
      <w:pPr>
        <w:ind w:left="920" w:right="54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318">
        <w:r>
          <w:rPr>
            <w:rFonts w:ascii="Times New Roman" w:cs="Times New Roman" w:eastAsia="Times New Roman" w:hAnsi="Times New Roman"/>
            <w:sz w:val="18"/>
            <w:szCs w:val="18"/>
            <w:u w:val="single" w:color="auto"/>
            <w:color w:val="0000FF"/>
          </w:rPr>
          <w:t>Executive Employment Agreement, dated September 28, 2025,</w:t>
        </w:r>
      </w:hyperlink>
      <w:r>
        <w:rPr>
          <w:rFonts w:ascii="Times New Roman" w:cs="Times New Roman" w:eastAsia="Times New Roman" w:hAnsi="Times New Roman"/>
          <w:sz w:val="18"/>
          <w:szCs w:val="18"/>
          <w:u w:val="single" w:color="auto"/>
          <w:color w:val="0000FF"/>
        </w:rPr>
        <w:t xml:space="preserve"> </w:t>
      </w:r>
      <w:hyperlink r:id="rId318">
        <w:r>
          <w:rPr>
            <w:rFonts w:ascii="Times New Roman" w:cs="Times New Roman" w:eastAsia="Times New Roman" w:hAnsi="Times New Roman"/>
            <w:sz w:val="18"/>
            <w:szCs w:val="18"/>
            <w:u w:val="single" w:color="auto"/>
            <w:color w:val="0000FF"/>
          </w:rPr>
          <w:t>between the Registrant and Usman Azam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29190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9">
                      <a:extLst>
                        <a:ext uri="{28A0092B-C50C-407E-A947-70E740481C1C}"/>
                      </a:extLst>
                    </a:blip>
                    <a:srcRect/>
                    <a:stretch>
                      <a:fillRect/>
                    </a:stretch>
                  </pic:blipFill>
                  <pic:spPr bwMode="auto">
                    <a:xfrm>
                      <a:off x="0" y="0"/>
                      <a:ext cx="29190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189420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0">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0" w:lineRule="exact"/>
        <w:rPr>
          <w:sz w:val="20"/>
          <w:szCs w:val="20"/>
          <w:color w:val="auto"/>
        </w:rPr>
      </w:pPr>
    </w:p>
    <w:p>
      <w:pPr>
        <w:ind w:left="920" w:right="44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8"/>
          <w:szCs w:val="18"/>
          <w:u w:val="single" w:color="auto"/>
          <w:color w:val="0000FF"/>
        </w:rPr>
        <w:t>Executive Employment Agreement, dated September 1, 2024, as amended, between the Registrant and Lucinda Warren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29857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1">
                      <a:extLst>
                        <a:ext uri="{28A0092B-C50C-407E-A947-70E740481C1C}"/>
                      </a:extLst>
                    </a:blip>
                    <a:srcRect/>
                    <a:stretch>
                      <a:fillRect/>
                    </a:stretch>
                  </pic:blipFill>
                  <pic:spPr bwMode="auto">
                    <a:xfrm>
                      <a:off x="0" y="0"/>
                      <a:ext cx="298577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24841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2">
                      <a:extLst>
                        <a:ext uri="{28A0092B-C50C-407E-A947-70E740481C1C}"/>
                      </a:extLst>
                    </a:blip>
                    <a:srcRect/>
                    <a:stretch>
                      <a:fillRect/>
                    </a:stretch>
                  </pic:blipFill>
                  <pic:spPr bwMode="auto">
                    <a:xfrm>
                      <a:off x="0" y="0"/>
                      <a:ext cx="2484120" cy="8255"/>
                    </a:xfrm>
                    <a:prstGeom prst="rect">
                      <a:avLst/>
                    </a:prstGeom>
                    <a:noFill/>
                  </pic:spPr>
                </pic:pic>
              </a:graphicData>
            </a:graphic>
          </wp:anchor>
        </w:drawing>
      </w:r>
    </w:p>
    <w:p>
      <w:pPr>
        <w:spacing w:after="0" w:line="14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8"/>
          <w:szCs w:val="18"/>
          <w:u w:val="single" w:color="auto"/>
          <w:color w:val="0000FF"/>
        </w:rPr>
        <w:t>Separation and Release of Claims Agreement, dated November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309308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3">
                      <a:extLst>
                        <a:ext uri="{28A0092B-C50C-407E-A947-70E740481C1C}"/>
                      </a:extLst>
                    </a:blip>
                    <a:srcRect/>
                    <a:stretch>
                      <a:fillRect/>
                    </a:stretch>
                  </pic:blipFill>
                  <pic:spPr bwMode="auto">
                    <a:xfrm>
                      <a:off x="0" y="0"/>
                      <a:ext cx="3093085" cy="8255"/>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0000FF"/>
        </w:rPr>
        <w:t>2025, between the Registrant and Matteo Levisetti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-19050</wp:posOffset>
            </wp:positionV>
            <wp:extent cx="23069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4">
                      <a:extLst>
                        <a:ext uri="{28A0092B-C50C-407E-A947-70E740481C1C}"/>
                      </a:extLst>
                    </a:blip>
                    <a:srcRect/>
                    <a:stretch>
                      <a:fillRect/>
                    </a:stretch>
                  </pic:blipFill>
                  <pic:spPr bwMode="auto">
                    <a:xfrm>
                      <a:off x="0" y="0"/>
                      <a:ext cx="230695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325">
        <w:r>
          <w:rPr>
            <w:rFonts w:ascii="Times New Roman" w:cs="Times New Roman" w:eastAsia="Times New Roman" w:hAnsi="Times New Roman"/>
            <w:sz w:val="18"/>
            <w:szCs w:val="18"/>
            <w:u w:val="single" w:color="auto"/>
            <w:color w:val="0000FF"/>
          </w:rPr>
          <w:t>Separation and Release of Claims Agreement, dated September 27,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3099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6">
                      <a:extLst>
                        <a:ext uri="{28A0092B-C50C-407E-A947-70E740481C1C}"/>
                      </a:extLst>
                    </a:blip>
                    <a:srcRect/>
                    <a:stretch>
                      <a:fillRect/>
                    </a:stretch>
                  </pic:blipFill>
                  <pic:spPr bwMode="auto">
                    <a:xfrm>
                      <a:off x="0" y="0"/>
                      <a:ext cx="3099435" cy="8255"/>
                    </a:xfrm>
                    <a:prstGeom prst="rect">
                      <a:avLst/>
                    </a:prstGeom>
                    <a:noFill/>
                  </pic:spPr>
                </pic:pic>
              </a:graphicData>
            </a:graphic>
          </wp:anchor>
        </w:drawing>
      </w:r>
    </w:p>
    <w:p>
      <w:pPr>
        <w:spacing w:after="0" w:line="7" w:lineRule="exact"/>
        <w:rPr>
          <w:sz w:val="20"/>
          <w:szCs w:val="20"/>
          <w:color w:val="auto"/>
        </w:rPr>
      </w:pPr>
    </w:p>
    <w:p>
      <w:pPr>
        <w:ind w:left="920"/>
        <w:spacing w:after="0"/>
        <w:rPr>
          <w:rFonts w:ascii="Times New Roman" w:cs="Times New Roman" w:eastAsia="Times New Roman" w:hAnsi="Times New Roman"/>
          <w:sz w:val="18"/>
          <w:szCs w:val="18"/>
          <w:u w:val="single" w:color="auto"/>
          <w:color w:val="0000FF"/>
        </w:rPr>
      </w:pPr>
      <w:hyperlink r:id="rId325">
        <w:r>
          <w:rPr>
            <w:rFonts w:ascii="Times New Roman" w:cs="Times New Roman" w:eastAsia="Times New Roman" w:hAnsi="Times New Roman"/>
            <w:sz w:val="18"/>
            <w:szCs w:val="18"/>
            <w:u w:val="single" w:color="auto"/>
            <w:color w:val="0000FF"/>
          </w:rPr>
          <w:t>2025, between the Registrant and Daniel Passeri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-19050</wp:posOffset>
            </wp:positionV>
            <wp:extent cx="221170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7">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65" w:lineRule="exact"/>
        <w:rPr>
          <w:sz w:val="20"/>
          <w:szCs w:val="20"/>
          <w:color w:val="auto"/>
        </w:rPr>
      </w:pPr>
    </w:p>
    <w:p>
      <w:pPr>
        <w:ind w:left="920" w:right="74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10.30*#</w:t>
      </w:r>
      <w:r>
        <w:rPr>
          <w:sz w:val="20"/>
          <w:szCs w:val="20"/>
          <w:color w:val="auto"/>
        </w:rPr>
        <w:tab/>
      </w:r>
      <w:hyperlink r:id="rId328">
        <w:r>
          <w:rPr>
            <w:rFonts w:ascii="Times New Roman" w:cs="Times New Roman" w:eastAsia="Times New Roman" w:hAnsi="Times New Roman"/>
            <w:sz w:val="18"/>
            <w:szCs w:val="18"/>
            <w:u w:val="single" w:color="auto"/>
            <w:color w:val="0000FF"/>
          </w:rPr>
          <w:t>Advisor Agreement, dated September 27, 2025, between the</w:t>
        </w:r>
      </w:hyperlink>
      <w:r>
        <w:rPr>
          <w:rFonts w:ascii="Times New Roman" w:cs="Times New Roman" w:eastAsia="Times New Roman" w:hAnsi="Times New Roman"/>
          <w:sz w:val="18"/>
          <w:szCs w:val="18"/>
          <w:u w:val="single" w:color="auto"/>
          <w:color w:val="0000FF"/>
        </w:rPr>
        <w:t xml:space="preserve"> </w:t>
      </w:r>
      <w:hyperlink r:id="rId328">
        <w:r>
          <w:rPr>
            <w:rFonts w:ascii="Times New Roman" w:cs="Times New Roman" w:eastAsia="Times New Roman" w:hAnsi="Times New Roman"/>
            <w:sz w:val="18"/>
            <w:szCs w:val="18"/>
            <w:u w:val="single" w:color="auto"/>
            <w:color w:val="0000FF"/>
          </w:rPr>
          <w:t>Registrant and Daniel Passeri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27889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9">
                      <a:extLst>
                        <a:ext uri="{28A0092B-C50C-407E-A947-70E740481C1C}"/>
                      </a:extLst>
                    </a:blip>
                    <a:srcRect/>
                    <a:stretch>
                      <a:fillRect/>
                    </a:stretch>
                  </pic:blipFill>
                  <pic:spPr bwMode="auto">
                    <a:xfrm>
                      <a:off x="0" y="0"/>
                      <a:ext cx="27889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13487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0">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142" w:lineRule="exact"/>
        <w:rPr>
          <w:sz w:val="20"/>
          <w:szCs w:val="20"/>
          <w:color w:val="auto"/>
        </w:rPr>
      </w:pPr>
    </w:p>
    <w:p>
      <w:pPr>
        <w:ind w:left="920" w:right="22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331">
        <w:r>
          <w:rPr>
            <w:rFonts w:ascii="Times New Roman" w:cs="Times New Roman" w:eastAsia="Times New Roman" w:hAnsi="Times New Roman"/>
            <w:sz w:val="18"/>
            <w:szCs w:val="18"/>
            <w:u w:val="single" w:color="auto"/>
            <w:color w:val="0000FF"/>
          </w:rPr>
          <w:t>First Amendment to the Amended and Restated License Agreement</w:t>
        </w:r>
      </w:hyperlink>
      <w:r>
        <w:rPr>
          <w:rFonts w:ascii="Times New Roman" w:cs="Times New Roman" w:eastAsia="Times New Roman" w:hAnsi="Times New Roman"/>
          <w:sz w:val="18"/>
          <w:szCs w:val="18"/>
          <w:u w:val="single" w:color="auto"/>
          <w:color w:val="0000FF"/>
        </w:rPr>
        <w:t xml:space="preserve"> </w:t>
      </w:r>
      <w:hyperlink r:id="rId331">
        <w:r>
          <w:rPr>
            <w:rFonts w:ascii="Times New Roman" w:cs="Times New Roman" w:eastAsia="Times New Roman" w:hAnsi="Times New Roman"/>
            <w:sz w:val="18"/>
            <w:szCs w:val="18"/>
            <w:u w:val="single" w:color="auto"/>
            <w:color w:val="0000FF"/>
          </w:rPr>
          <w:t>with Albert Einstein College of Medicine dated October 30,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125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2">
                      <a:extLst>
                        <a:ext uri="{28A0092B-C50C-407E-A947-70E740481C1C}"/>
                      </a:extLst>
                    </a:blip>
                    <a:srcRect/>
                    <a:stretch>
                      <a:fillRect/>
                    </a:stretch>
                  </pic:blipFill>
                  <pic:spPr bwMode="auto">
                    <a:xfrm>
                      <a:off x="0" y="0"/>
                      <a:ext cx="312547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29952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3">
                      <a:extLst>
                        <a:ext uri="{28A0092B-C50C-407E-A947-70E740481C1C}"/>
                      </a:extLst>
                    </a:blip>
                    <a:srcRect/>
                    <a:stretch>
                      <a:fillRect/>
                    </a:stretch>
                  </pic:blipFill>
                  <pic:spPr bwMode="auto">
                    <a:xfrm>
                      <a:off x="0" y="0"/>
                      <a:ext cx="2995295" cy="8255"/>
                    </a:xfrm>
                    <a:prstGeom prst="rect">
                      <a:avLst/>
                    </a:prstGeom>
                    <a:noFill/>
                  </pic:spPr>
                </pic:pic>
              </a:graphicData>
            </a:graphic>
          </wp:anchor>
        </w:drawing>
      </w:r>
    </w:p>
    <w:p>
      <w:pPr>
        <w:spacing w:after="0" w:line="122" w:lineRule="exact"/>
        <w:rPr>
          <w:sz w:val="20"/>
          <w:szCs w:val="20"/>
          <w:color w:val="auto"/>
        </w:rPr>
      </w:pPr>
    </w:p>
    <w:p>
      <w:pPr>
        <w:ind w:left="920" w:right="500" w:hanging="917"/>
        <w:spacing w:after="0" w:line="233"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334">
        <w:r>
          <w:rPr>
            <w:rFonts w:ascii="Times New Roman" w:cs="Times New Roman" w:eastAsia="Times New Roman" w:hAnsi="Times New Roman"/>
            <w:sz w:val="18"/>
            <w:szCs w:val="18"/>
            <w:u w:val="single" w:color="auto"/>
            <w:color w:val="0000FF"/>
          </w:rPr>
          <w:t>Open Market Sale Agreement</w:t>
        </w:r>
        <w:r>
          <w:rPr>
            <w:rFonts w:ascii="Times New Roman" w:cs="Times New Roman" w:eastAsia="Times New Roman" w:hAnsi="Times New Roman"/>
            <w:sz w:val="24"/>
            <w:szCs w:val="24"/>
            <w:u w:val="single" w:color="auto"/>
            <w:color w:val="0000FF"/>
            <w:vertAlign w:val="superscript"/>
          </w:rPr>
          <w:t>SM</w:t>
        </w:r>
        <w:r>
          <w:rPr>
            <w:rFonts w:ascii="Times New Roman" w:cs="Times New Roman" w:eastAsia="Times New Roman" w:hAnsi="Times New Roman"/>
            <w:sz w:val="18"/>
            <w:szCs w:val="18"/>
            <w:u w:val="single" w:color="auto"/>
            <w:color w:val="0000FF"/>
          </w:rPr>
          <w:t>, dated October 1, 2021, by and</w:t>
        </w:r>
      </w:hyperlink>
      <w:r>
        <w:rPr>
          <w:rFonts w:ascii="Times New Roman" w:cs="Times New Roman" w:eastAsia="Times New Roman" w:hAnsi="Times New Roman"/>
          <w:sz w:val="18"/>
          <w:szCs w:val="18"/>
          <w:u w:val="single" w:color="auto"/>
          <w:color w:val="0000FF"/>
        </w:rPr>
        <w:t xml:space="preserve"> </w:t>
      </w:r>
      <w:hyperlink r:id="rId334">
        <w:r>
          <w:rPr>
            <w:rFonts w:ascii="Times New Roman" w:cs="Times New Roman" w:eastAsia="Times New Roman" w:hAnsi="Times New Roman"/>
            <w:sz w:val="18"/>
            <w:szCs w:val="18"/>
            <w:u w:val="single" w:color="auto"/>
            <w:color w:val="0000FF"/>
          </w:rPr>
          <w:t>between Cue Biopharma, Inc. and Jefferies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-161290</wp:posOffset>
            </wp:positionV>
            <wp:extent cx="29438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5">
                      <a:extLst>
                        <a:ext uri="{28A0092B-C50C-407E-A947-70E740481C1C}"/>
                      </a:extLst>
                    </a:blip>
                    <a:srcRect/>
                    <a:stretch>
                      <a:fillRect/>
                    </a:stretch>
                  </pic:blipFill>
                  <pic:spPr bwMode="auto">
                    <a:xfrm>
                      <a:off x="0" y="0"/>
                      <a:ext cx="294386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-24130</wp:posOffset>
            </wp:positionV>
            <wp:extent cx="22142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6">
                      <a:extLst>
                        <a:ext uri="{28A0092B-C50C-407E-A947-70E740481C1C}"/>
                      </a:extLst>
                    </a:blip>
                    <a:srcRect/>
                    <a:stretch>
                      <a:fillRect/>
                    </a:stretch>
                  </pic:blipFill>
                  <pic:spPr bwMode="auto">
                    <a:xfrm>
                      <a:off x="0" y="0"/>
                      <a:ext cx="2214245" cy="8255"/>
                    </a:xfrm>
                    <a:prstGeom prst="rect">
                      <a:avLst/>
                    </a:prstGeom>
                    <a:noFill/>
                  </pic:spPr>
                </pic:pic>
              </a:graphicData>
            </a:graphic>
          </wp:anchor>
        </w:drawing>
        <w:drawing>
          <wp:anchor simplePos="0" relativeHeight="251657728" behindDoc="1" locked="0" layoutInCell="0" allowOverlap="1">
            <wp:simplePos x="0" y="0"/>
            <wp:positionH relativeFrom="column">
              <wp:posOffset>1955165</wp:posOffset>
            </wp:positionH>
            <wp:positionV relativeFrom="paragraph">
              <wp:posOffset>-212725</wp:posOffset>
            </wp:positionV>
            <wp:extent cx="1104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7">
                      <a:extLst>
                        <a:ext uri="{28A0092B-C50C-407E-A947-70E740481C1C}"/>
                      </a:extLst>
                    </a:blip>
                    <a:srcRect/>
                    <a:stretch>
                      <a:fillRect/>
                    </a:stretch>
                  </pic:blipFill>
                  <pic:spPr bwMode="auto">
                    <a:xfrm>
                      <a:off x="0" y="0"/>
                      <a:ext cx="110490" cy="8255"/>
                    </a:xfrm>
                    <a:prstGeom prst="rect">
                      <a:avLst/>
                    </a:prstGeom>
                    <a:noFill/>
                  </pic:spPr>
                </pic:pic>
              </a:graphicData>
            </a:graphic>
          </wp:anchor>
        </w:drawing>
      </w:r>
    </w:p>
    <w:p>
      <w:pPr>
        <w:spacing w:after="0" w:line="58" w:lineRule="exact"/>
        <w:rPr>
          <w:sz w:val="20"/>
          <w:szCs w:val="20"/>
          <w:color w:val="auto"/>
        </w:rPr>
      </w:pPr>
    </w:p>
    <w:p>
      <w:pPr>
        <w:ind w:left="920" w:right="10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338">
        <w:r>
          <w:rPr>
            <w:rFonts w:ascii="Times New Roman" w:cs="Times New Roman" w:eastAsia="Times New Roman" w:hAnsi="Times New Roman"/>
            <w:sz w:val="18"/>
            <w:szCs w:val="18"/>
            <w:u w:val="single" w:color="auto"/>
            <w:color w:val="0000FF"/>
          </w:rPr>
          <w:t>License Agreement, dated March 28, 2022, between Cue Biopharma,</w:t>
        </w:r>
      </w:hyperlink>
      <w:r>
        <w:rPr>
          <w:rFonts w:ascii="Times New Roman" w:cs="Times New Roman" w:eastAsia="Times New Roman" w:hAnsi="Times New Roman"/>
          <w:sz w:val="18"/>
          <w:szCs w:val="18"/>
          <w:u w:val="single" w:color="auto"/>
          <w:color w:val="0000FF"/>
        </w:rPr>
        <w:t xml:space="preserve"> </w:t>
      </w:r>
      <w:hyperlink r:id="rId338">
        <w:r>
          <w:rPr>
            <w:rFonts w:ascii="Times New Roman" w:cs="Times New Roman" w:eastAsia="Times New Roman" w:hAnsi="Times New Roman"/>
            <w:sz w:val="18"/>
            <w:szCs w:val="18"/>
            <w:u w:val="single" w:color="auto"/>
            <w:color w:val="0000FF"/>
          </w:rPr>
          <w:t>Inc. and MIL 40G,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19468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9">
                      <a:extLst>
                        <a:ext uri="{28A0092B-C50C-407E-A947-70E740481C1C}"/>
                      </a:extLst>
                    </a:blip>
                    <a:srcRect/>
                    <a:stretch>
                      <a:fillRect/>
                    </a:stretch>
                  </pic:blipFill>
                  <pic:spPr bwMode="auto">
                    <a:xfrm>
                      <a:off x="0" y="0"/>
                      <a:ext cx="319468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110426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0">
                      <a:extLst>
                        <a:ext uri="{28A0092B-C50C-407E-A947-70E740481C1C}"/>
                      </a:extLst>
                    </a:blip>
                    <a:srcRect/>
                    <a:stretch>
                      <a:fillRect/>
                    </a:stretch>
                  </pic:blipFill>
                  <pic:spPr bwMode="auto">
                    <a:xfrm>
                      <a:off x="0" y="0"/>
                      <a:ext cx="1104265" cy="8255"/>
                    </a:xfrm>
                    <a:prstGeom prst="rect">
                      <a:avLst/>
                    </a:prstGeom>
                    <a:noFill/>
                  </pic:spPr>
                </pic:pic>
              </a:graphicData>
            </a:graphic>
          </wp:anchor>
        </w:drawing>
      </w:r>
    </w:p>
    <w:p>
      <w:pPr>
        <w:spacing w:after="0" w:line="142" w:lineRule="exact"/>
        <w:rPr>
          <w:sz w:val="20"/>
          <w:szCs w:val="20"/>
          <w:color w:val="auto"/>
        </w:rPr>
      </w:pPr>
    </w:p>
    <w:p>
      <w:pPr>
        <w:ind w:left="920" w:right="44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341">
        <w:r>
          <w:rPr>
            <w:rFonts w:ascii="Times New Roman" w:cs="Times New Roman" w:eastAsia="Times New Roman" w:hAnsi="Times New Roman"/>
            <w:sz w:val="18"/>
            <w:szCs w:val="18"/>
            <w:u w:val="single" w:color="auto"/>
            <w:color w:val="0000FF"/>
          </w:rPr>
          <w:t>First Amendment to the License Agreement, dated May 3, 2022,</w:t>
        </w:r>
      </w:hyperlink>
      <w:r>
        <w:rPr>
          <w:rFonts w:ascii="Times New Roman" w:cs="Times New Roman" w:eastAsia="Times New Roman" w:hAnsi="Times New Roman"/>
          <w:sz w:val="18"/>
          <w:szCs w:val="18"/>
          <w:u w:val="single" w:color="auto"/>
          <w:color w:val="0000FF"/>
        </w:rPr>
        <w:t xml:space="preserve"> </w:t>
      </w:r>
      <w:hyperlink r:id="rId341">
        <w:r>
          <w:rPr>
            <w:rFonts w:ascii="Times New Roman" w:cs="Times New Roman" w:eastAsia="Times New Roman" w:hAnsi="Times New Roman"/>
            <w:sz w:val="18"/>
            <w:szCs w:val="18"/>
            <w:u w:val="single" w:color="auto"/>
            <w:color w:val="0000FF"/>
          </w:rPr>
          <w:t>between Cue Biopharma, Inc. and MIL 40G,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29794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2">
                      <a:extLst>
                        <a:ext uri="{28A0092B-C50C-407E-A947-70E740481C1C}"/>
                      </a:extLst>
                    </a:blip>
                    <a:srcRect/>
                    <a:stretch>
                      <a:fillRect/>
                    </a:stretch>
                  </pic:blipFill>
                  <pic:spPr bwMode="auto">
                    <a:xfrm>
                      <a:off x="0" y="0"/>
                      <a:ext cx="297942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229044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3">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142" w:lineRule="exact"/>
        <w:rPr>
          <w:sz w:val="20"/>
          <w:szCs w:val="20"/>
          <w:color w:val="auto"/>
        </w:rPr>
      </w:pPr>
    </w:p>
    <w:p>
      <w:pPr>
        <w:ind w:left="920" w:right="24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344">
        <w:r>
          <w:rPr>
            <w:rFonts w:ascii="Times New Roman" w:cs="Times New Roman" w:eastAsia="Times New Roman" w:hAnsi="Times New Roman"/>
            <w:sz w:val="18"/>
            <w:szCs w:val="18"/>
            <w:u w:val="single" w:color="auto"/>
            <w:color w:val="0000FF"/>
          </w:rPr>
          <w:t>Rider to License Agreement, dated as of July 7, 2022, between Cue</w:t>
        </w:r>
      </w:hyperlink>
      <w:r>
        <w:rPr>
          <w:rFonts w:ascii="Times New Roman" w:cs="Times New Roman" w:eastAsia="Times New Roman" w:hAnsi="Times New Roman"/>
          <w:sz w:val="18"/>
          <w:szCs w:val="18"/>
          <w:u w:val="single" w:color="auto"/>
          <w:color w:val="0000FF"/>
        </w:rPr>
        <w:t xml:space="preserve"> </w:t>
      </w:r>
      <w:hyperlink r:id="rId344">
        <w:r>
          <w:rPr>
            <w:rFonts w:ascii="Times New Roman" w:cs="Times New Roman" w:eastAsia="Times New Roman" w:hAnsi="Times New Roman"/>
            <w:sz w:val="18"/>
            <w:szCs w:val="18"/>
            <w:u w:val="single" w:color="auto"/>
            <w:color w:val="0000FF"/>
          </w:rPr>
          <w:t>Biopharma, Inc. and MIL 40G,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1127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5">
                      <a:extLst>
                        <a:ext uri="{28A0092B-C50C-407E-A947-70E740481C1C}"/>
                      </a:extLst>
                    </a:blip>
                    <a:srcRect/>
                    <a:stretch>
                      <a:fillRect/>
                    </a:stretch>
                  </pic:blipFill>
                  <pic:spPr bwMode="auto">
                    <a:xfrm>
                      <a:off x="0" y="0"/>
                      <a:ext cx="311277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16687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6">
                      <a:extLst>
                        <a:ext uri="{28A0092B-C50C-407E-A947-70E740481C1C}"/>
                      </a:extLst>
                    </a:blip>
                    <a:srcRect/>
                    <a:stretch>
                      <a:fillRect/>
                    </a:stretch>
                  </pic:blipFill>
                  <pic:spPr bwMode="auto">
                    <a:xfrm>
                      <a:off x="0" y="0"/>
                      <a:ext cx="1668780" cy="8890"/>
                    </a:xfrm>
                    <a:prstGeom prst="rect">
                      <a:avLst/>
                    </a:prstGeom>
                    <a:noFill/>
                  </pic:spPr>
                </pic:pic>
              </a:graphicData>
            </a:graphic>
          </wp:anchor>
        </w:drawing>
      </w:r>
    </w:p>
    <w:p>
      <w:pPr>
        <w:spacing w:after="0" w:line="142" w:lineRule="exact"/>
        <w:rPr>
          <w:sz w:val="20"/>
          <w:szCs w:val="20"/>
          <w:color w:val="auto"/>
        </w:rPr>
      </w:pPr>
    </w:p>
    <w:p>
      <w:pPr>
        <w:ind w:left="920" w:right="8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10.36</w:t>
      </w:r>
      <w:r>
        <w:rPr>
          <w:sz w:val="20"/>
          <w:szCs w:val="20"/>
          <w:color w:val="auto"/>
        </w:rPr>
        <w:tab/>
      </w:r>
      <w:hyperlink r:id="rId347">
        <w:r>
          <w:rPr>
            <w:rFonts w:ascii="Times New Roman" w:cs="Times New Roman" w:eastAsia="Times New Roman" w:hAnsi="Times New Roman"/>
            <w:sz w:val="18"/>
            <w:szCs w:val="18"/>
            <w:u w:val="single" w:color="auto"/>
            <w:color w:val="0000FF"/>
          </w:rPr>
          <w:t>First Amendment to Rider to License Agreement, dated May 3, 2024,</w:t>
        </w:r>
      </w:hyperlink>
      <w:r>
        <w:rPr>
          <w:rFonts w:ascii="Times New Roman" w:cs="Times New Roman" w:eastAsia="Times New Roman" w:hAnsi="Times New Roman"/>
          <w:sz w:val="18"/>
          <w:szCs w:val="18"/>
          <w:u w:val="single" w:color="auto"/>
          <w:color w:val="0000FF"/>
        </w:rPr>
        <w:t xml:space="preserve"> </w:t>
      </w:r>
      <w:hyperlink r:id="rId347">
        <w:r>
          <w:rPr>
            <w:rFonts w:ascii="Times New Roman" w:cs="Times New Roman" w:eastAsia="Times New Roman" w:hAnsi="Times New Roman"/>
            <w:sz w:val="18"/>
            <w:szCs w:val="18"/>
            <w:u w:val="single" w:color="auto"/>
            <w:color w:val="0000FF"/>
          </w:rPr>
          <w:t>between Cue Biopharma, Inc. and MIL 40G,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21119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8">
                      <a:extLst>
                        <a:ext uri="{28A0092B-C50C-407E-A947-70E740481C1C}"/>
                      </a:extLst>
                    </a:blip>
                    <a:srcRect/>
                    <a:stretch>
                      <a:fillRect/>
                    </a:stretch>
                  </pic:blipFill>
                  <pic:spPr bwMode="auto">
                    <a:xfrm>
                      <a:off x="0" y="0"/>
                      <a:ext cx="32111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229044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9">
                      <a:extLst>
                        <a:ext uri="{28A0092B-C50C-407E-A947-70E740481C1C}"/>
                      </a:extLst>
                    </a:blip>
                    <a:srcRect/>
                    <a:stretch>
                      <a:fillRect/>
                    </a:stretch>
                  </pic:blipFill>
                  <pic:spPr bwMode="auto">
                    <a:xfrm>
                      <a:off x="0" y="0"/>
                      <a:ext cx="2290445" cy="8890"/>
                    </a:xfrm>
                    <a:prstGeom prst="rect">
                      <a:avLst/>
                    </a:prstGeom>
                    <a:noFill/>
                  </pic:spPr>
                </pic:pic>
              </a:graphicData>
            </a:graphic>
          </wp:anchor>
        </w:drawing>
      </w:r>
    </w:p>
    <w:p>
      <w:pPr>
        <w:spacing w:after="0" w:line="142" w:lineRule="exact"/>
        <w:rPr>
          <w:sz w:val="20"/>
          <w:szCs w:val="20"/>
          <w:color w:val="auto"/>
        </w:rPr>
      </w:pPr>
    </w:p>
    <w:p>
      <w:pPr>
        <w:spacing w:after="0"/>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10.37</w:t>
      </w:r>
      <w:r>
        <w:rPr>
          <w:sz w:val="20"/>
          <w:szCs w:val="20"/>
          <w:color w:val="auto"/>
        </w:rPr>
        <w:tab/>
      </w:r>
      <w:hyperlink r:id="rId350">
        <w:r>
          <w:rPr>
            <w:rFonts w:ascii="Times New Roman" w:cs="Times New Roman" w:eastAsia="Times New Roman" w:hAnsi="Times New Roman"/>
            <w:sz w:val="18"/>
            <w:szCs w:val="18"/>
            <w:u w:val="single" w:color="auto"/>
            <w:color w:val="0000FF"/>
          </w:rPr>
          <w:t>Second Amendment to Rider to License Agreement, dated November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-7620</wp:posOffset>
            </wp:positionV>
            <wp:extent cx="32105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1">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line="7" w:lineRule="exact"/>
        <w:rPr>
          <w:sz w:val="20"/>
          <w:szCs w:val="20"/>
          <w:color w:val="auto"/>
        </w:rPr>
      </w:pPr>
    </w:p>
    <w:p>
      <w:pPr>
        <w:ind w:left="920"/>
        <w:spacing w:after="0"/>
        <w:rPr>
          <w:rFonts w:ascii="Times New Roman" w:cs="Times New Roman" w:eastAsia="Times New Roman" w:hAnsi="Times New Roman"/>
          <w:sz w:val="18"/>
          <w:szCs w:val="18"/>
          <w:u w:val="single" w:color="auto"/>
          <w:color w:val="0000FF"/>
        </w:rPr>
      </w:pPr>
      <w:hyperlink r:id="rId350">
        <w:r>
          <w:rPr>
            <w:rFonts w:ascii="Times New Roman" w:cs="Times New Roman" w:eastAsia="Times New Roman" w:hAnsi="Times New Roman"/>
            <w:sz w:val="18"/>
            <w:szCs w:val="18"/>
            <w:u w:val="single" w:color="auto"/>
            <w:color w:val="0000FF"/>
          </w:rPr>
          <w:t>20, 2024, between Cue Biopharma, Inc. and MIL 40G,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-19050</wp:posOffset>
            </wp:positionV>
            <wp:extent cx="27476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2">
                      <a:extLst>
                        <a:ext uri="{28A0092B-C50C-407E-A947-70E740481C1C}"/>
                      </a:extLst>
                    </a:blip>
                    <a:srcRect/>
                    <a:stretch>
                      <a:fillRect/>
                    </a:stretch>
                  </pic:blipFill>
                  <pic:spPr bwMode="auto">
                    <a:xfrm>
                      <a:off x="0" y="0"/>
                      <a:ext cx="2747645" cy="8890"/>
                    </a:xfrm>
                    <a:prstGeom prst="rect">
                      <a:avLst/>
                    </a:prstGeom>
                    <a:noFill/>
                  </pic:spPr>
                </pic:pic>
              </a:graphicData>
            </a:graphic>
          </wp:anchor>
        </w:drawing>
      </w:r>
    </w:p>
    <w:p>
      <w:pPr>
        <w:spacing w:after="0" w:line="65" w:lineRule="exact"/>
        <w:rPr>
          <w:sz w:val="20"/>
          <w:szCs w:val="20"/>
          <w:color w:val="auto"/>
        </w:rPr>
      </w:pPr>
    </w:p>
    <w:p>
      <w:pPr>
        <w:ind w:left="920" w:right="16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10.38</w:t>
      </w:r>
      <w:r>
        <w:rPr>
          <w:sz w:val="20"/>
          <w:szCs w:val="20"/>
          <w:color w:val="auto"/>
        </w:rPr>
        <w:tab/>
      </w:r>
      <w:hyperlink r:id="rId353">
        <w:r>
          <w:rPr>
            <w:rFonts w:ascii="Times New Roman" w:cs="Times New Roman" w:eastAsia="Times New Roman" w:hAnsi="Times New Roman"/>
            <w:sz w:val="18"/>
            <w:szCs w:val="18"/>
            <w:u w:val="single" w:color="auto"/>
            <w:color w:val="0000FF"/>
          </w:rPr>
          <w:t>Second Amendment to the License Agreement, dated June 30, 2025,</w:t>
        </w:r>
      </w:hyperlink>
      <w:r>
        <w:rPr>
          <w:rFonts w:ascii="Times New Roman" w:cs="Times New Roman" w:eastAsia="Times New Roman" w:hAnsi="Times New Roman"/>
          <w:sz w:val="18"/>
          <w:szCs w:val="18"/>
          <w:u w:val="single" w:color="auto"/>
          <w:color w:val="0000FF"/>
        </w:rPr>
        <w:t xml:space="preserve"> </w:t>
      </w:r>
      <w:hyperlink r:id="rId353">
        <w:r>
          <w:rPr>
            <w:rFonts w:ascii="Times New Roman" w:cs="Times New Roman" w:eastAsia="Times New Roman" w:hAnsi="Times New Roman"/>
            <w:sz w:val="18"/>
            <w:szCs w:val="18"/>
            <w:u w:val="single" w:color="auto"/>
            <w:color w:val="0000FF"/>
          </w:rPr>
          <w:t>between Cue Biopharma, Inc. and MIL 40G,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1629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4">
                      <a:extLst>
                        <a:ext uri="{28A0092B-C50C-407E-A947-70E740481C1C}"/>
                      </a:extLst>
                    </a:blip>
                    <a:srcRect/>
                    <a:stretch>
                      <a:fillRect/>
                    </a:stretch>
                  </pic:blipFill>
                  <pic:spPr bwMode="auto">
                    <a:xfrm>
                      <a:off x="0" y="0"/>
                      <a:ext cx="316293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229044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5">
                      <a:extLst>
                        <a:ext uri="{28A0092B-C50C-407E-A947-70E740481C1C}"/>
                      </a:extLst>
                    </a:blip>
                    <a:srcRect/>
                    <a:stretch>
                      <a:fillRect/>
                    </a:stretch>
                  </pic:blipFill>
                  <pic:spPr bwMode="auto">
                    <a:xfrm>
                      <a:off x="0" y="0"/>
                      <a:ext cx="2290445" cy="8255"/>
                    </a:xfrm>
                    <a:prstGeom prst="rect">
                      <a:avLst/>
                    </a:prstGeom>
                    <a:noFill/>
                  </pic:spPr>
                </pic:pic>
              </a:graphicData>
            </a:graphic>
          </wp:anchor>
        </w:drawing>
      </w:r>
    </w:p>
    <w:p>
      <w:pPr>
        <w:spacing w:after="0" w:line="20" w:lineRule="exact"/>
        <w:rPr>
          <w:sz w:val="20"/>
          <w:szCs w:val="20"/>
          <w:color w:val="auto"/>
        </w:rPr>
      </w:pPr>
    </w:p>
    <w:p>
      <w:pPr>
        <w:ind w:left="920" w:hanging="917"/>
        <w:spacing w:after="0" w:line="282" w:lineRule="auto"/>
        <w:tabs>
          <w:tab w:leader="none" w:pos="9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10.39</w:t>
      </w:r>
      <w:r>
        <w:rPr>
          <w:sz w:val="20"/>
          <w:szCs w:val="20"/>
          <w:color w:val="auto"/>
        </w:rPr>
        <w:tab/>
      </w:r>
      <w:hyperlink r:id="rId356">
        <w:r>
          <w:rPr>
            <w:rFonts w:ascii="Times New Roman" w:cs="Times New Roman" w:eastAsia="Times New Roman" w:hAnsi="Times New Roman"/>
            <w:sz w:val="18"/>
            <w:szCs w:val="18"/>
            <w:u w:val="single" w:color="auto"/>
            <w:color w:val="0000FF"/>
          </w:rPr>
          <w:t>Termination of License Agreement, dated September 9, 2022, between</w:t>
        </w:r>
      </w:hyperlink>
      <w:r>
        <w:rPr>
          <w:rFonts w:ascii="Times New Roman" w:cs="Times New Roman" w:eastAsia="Times New Roman" w:hAnsi="Times New Roman"/>
          <w:sz w:val="18"/>
          <w:szCs w:val="18"/>
          <w:u w:val="single" w:color="auto"/>
          <w:color w:val="0000FF"/>
        </w:rPr>
        <w:t xml:space="preserve"> </w:t>
      </w:r>
      <w:hyperlink r:id="rId356">
        <w:r>
          <w:rPr>
            <w:rFonts w:ascii="Times New Roman" w:cs="Times New Roman" w:eastAsia="Times New Roman" w:hAnsi="Times New Roman"/>
            <w:sz w:val="18"/>
            <w:szCs w:val="18"/>
            <w:u w:val="single" w:color="auto"/>
            <w:color w:val="0000FF"/>
          </w:rPr>
          <w:t>Cue Biopharma, Inc. and MIL 21E,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-185420</wp:posOffset>
            </wp:positionV>
            <wp:extent cx="32410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7">
                      <a:extLst>
                        <a:ext uri="{28A0092B-C50C-407E-A947-70E740481C1C}"/>
                      </a:extLst>
                    </a:blip>
                    <a:srcRect/>
                    <a:stretch>
                      <a:fillRect/>
                    </a:stretch>
                  </pic:blipFill>
                  <pic:spPr bwMode="auto">
                    <a:xfrm>
                      <a:off x="0" y="0"/>
                      <a:ext cx="324104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-48260</wp:posOffset>
            </wp:positionV>
            <wp:extent cx="186880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8">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3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40" w:type="dxa"/>
        <w:tblCellMar>
          <w:top w:w="0" w:type="dxa"/>
          <w:left w:w="0" w:type="dxa"/>
          <w:bottom w:w="0" w:type="dxa"/>
          <w:right w:w="0" w:type="dxa"/>
        </w:tblCellMar>
      </w:tblPr>
      <w:tr>
        <w:trPr>
          <w:trHeight w:val="234"/>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03/09/2021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526"/>
        </w:trPr>
        <w:tc>
          <w:tcPr>
            <w:tcW w:w="6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08/24/2020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527"/>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11/12/2025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11/12/2025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527"/>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11/12/2025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648"/>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03/09/2021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648"/>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11/09/2021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526"/>
        </w:trPr>
        <w:tc>
          <w:tcPr>
            <w:tcW w:w="6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03/30/2022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648"/>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08/04/2022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648"/>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08/04/2022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648"/>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03/31/2025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648"/>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03/31/2025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526"/>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08/12/2025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527"/>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11/14/2022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bl>
    <w:p>
      <w:pPr>
        <w:sectPr>
          <w:pgSz w:w="11900" w:h="16838" w:orient="portrait"/>
          <w:cols w:equalWidth="0" w:num="2">
            <w:col w:w="6020" w:space="380"/>
            <w:col w:w="4580"/>
          </w:cols>
          <w:pgMar w:left="320" w:top="1174" w:right="599" w:bottom="144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10.40</w:t>
            </w:r>
          </w:p>
        </w:tc>
        <w:tc>
          <w:tcPr>
            <w:tcW w:w="49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Form of Securities Purchase Agreement, dated November 14, 2022,</w:t>
              </w:r>
            </w:hyperlink>
          </w:p>
        </w:tc>
        <w:tc>
          <w:tcPr>
            <w:tcW w:w="16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100" w:type="dxa"/>
            <w:vAlign w:val="bottom"/>
            <w:gridSpan w:val="32"/>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by and among the Company and the other parties thereto</w:t>
              </w:r>
            </w:hyperlink>
          </w:p>
        </w:tc>
      </w:tr>
      <w:tr>
        <w:trPr>
          <w:trHeight w:val="20"/>
        </w:trPr>
        <w:tc>
          <w:tcPr>
            <w:tcW w:w="9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48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Registration Rights Agreement, dated November 14, 2022, by and</w:t>
              </w:r>
            </w:hyperlink>
          </w:p>
        </w:tc>
        <w:tc>
          <w:tcPr>
            <w:tcW w:w="280" w:type="dxa"/>
            <w:vAlign w:val="bottom"/>
            <w:gridSpan w:val="10"/>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5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61">
              <w:r>
                <w:rPr>
                  <w:rFonts w:ascii="Times New Roman" w:cs="Times New Roman" w:eastAsia="Times New Roman" w:hAnsi="Times New Roman"/>
                  <w:sz w:val="18"/>
                  <w:szCs w:val="18"/>
                  <w:color w:val="0000FF"/>
                  <w:w w:val="99"/>
                </w:rPr>
                <w:t>among the Company and the other parties thereto</w:t>
              </w:r>
            </w:hyperlink>
          </w:p>
        </w:tc>
        <w:tc>
          <w:tcPr>
            <w:tcW w:w="20" w:type="dxa"/>
            <w:vAlign w:val="bottom"/>
            <w:tcBorders>
              <w:bottom w:val="single" w:sz="8" w:color="0000EE"/>
            </w:tcBorders>
          </w:tcPr>
          <w:p>
            <w:pPr>
              <w:spacing w:after="0"/>
              <w:rPr>
                <w:sz w:val="17"/>
                <w:szCs w:val="17"/>
                <w:color w:val="auto"/>
              </w:rPr>
            </w:pPr>
          </w:p>
        </w:tc>
        <w:tc>
          <w:tcPr>
            <w:tcW w:w="1520" w:type="dxa"/>
            <w:vAlign w:val="bottom"/>
            <w:gridSpan w:val="19"/>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50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Waiver and First Amendment to Loan and Security Agreement, dated</w:t>
              </w:r>
            </w:hyperlink>
          </w:p>
        </w:tc>
        <w:tc>
          <w:tcPr>
            <w:tcW w:w="4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47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April 10, 2023, by and between Cue Biopharma, Inc. and Silicon</w:t>
              </w:r>
            </w:hyperlink>
          </w:p>
        </w:tc>
        <w:tc>
          <w:tcPr>
            <w:tcW w:w="36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9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Valley Bridge Bank, N.A., as successor in interest to Silicon Valley</w:t>
              </w:r>
            </w:hyperlink>
          </w:p>
        </w:tc>
        <w:tc>
          <w:tcPr>
            <w:tcW w:w="18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62">
              <w:r>
                <w:rPr>
                  <w:rFonts w:ascii="Times New Roman" w:cs="Times New Roman" w:eastAsia="Times New Roman" w:hAnsi="Times New Roman"/>
                  <w:sz w:val="18"/>
                  <w:szCs w:val="18"/>
                  <w:color w:val="0000FF"/>
                  <w:w w:val="99"/>
                </w:rPr>
                <w:t>Bank</w:t>
              </w:r>
            </w:hyperlink>
          </w:p>
        </w:tc>
        <w:tc>
          <w:tcPr>
            <w:tcW w:w="20" w:type="dxa"/>
            <w:vAlign w:val="bottom"/>
            <w:tcBorders>
              <w:bottom w:val="single" w:sz="8" w:color="0000EE"/>
            </w:tcBorders>
          </w:tcPr>
          <w:p>
            <w:pPr>
              <w:spacing w:after="0"/>
              <w:rPr>
                <w:sz w:val="17"/>
                <w:szCs w:val="17"/>
                <w:color w:val="auto"/>
              </w:rPr>
            </w:pPr>
          </w:p>
        </w:tc>
        <w:tc>
          <w:tcPr>
            <w:tcW w:w="4680" w:type="dxa"/>
            <w:vAlign w:val="bottom"/>
            <w:gridSpan w:val="27"/>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50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Second Amendment to Loan and Security Agreement, dated October</w:t>
              </w:r>
            </w:hyperlink>
          </w:p>
        </w:tc>
        <w:tc>
          <w:tcPr>
            <w:tcW w:w="8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47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363">
              <w:r>
                <w:rPr>
                  <w:rFonts w:ascii="Times New Roman" w:cs="Times New Roman" w:eastAsia="Times New Roman" w:hAnsi="Times New Roman"/>
                  <w:sz w:val="18"/>
                  <w:szCs w:val="18"/>
                  <w:color w:val="0000FF"/>
                  <w:w w:val="99"/>
                </w:rPr>
                <w:t>2, 2024, by and between Silicon Valley Bank, a division of First-</w:t>
              </w:r>
            </w:hyperlink>
          </w:p>
        </w:tc>
        <w:tc>
          <w:tcPr>
            <w:tcW w:w="38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100" w:type="dxa"/>
            <w:vAlign w:val="bottom"/>
            <w:gridSpan w:val="32"/>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Citizens Bank &amp; Trust Company, and Cue Biopharma, Inc.</w:t>
              </w:r>
            </w:hyperlink>
          </w:p>
        </w:tc>
      </w:tr>
      <w:tr>
        <w:trPr>
          <w:trHeight w:val="20"/>
        </w:trPr>
        <w:tc>
          <w:tcPr>
            <w:tcW w:w="9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49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Amendment No. 2 to Cue Biopharma, Inc. 2016 Omnibus Incentive</w:t>
              </w:r>
            </w:hyperlink>
          </w:p>
        </w:tc>
        <w:tc>
          <w:tcPr>
            <w:tcW w:w="16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100" w:type="dxa"/>
            <w:vAlign w:val="bottom"/>
            <w:gridSpan w:val="32"/>
          </w:tcPr>
          <w:p>
            <w:pPr>
              <w:spacing w:after="0" w:line="19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Plan</w:t>
              </w:r>
            </w:hyperlink>
          </w:p>
        </w:tc>
      </w:tr>
      <w:tr>
        <w:trPr>
          <w:trHeight w:val="20"/>
        </w:trPr>
        <w:tc>
          <w:tcPr>
            <w:tcW w:w="9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46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Amendment No. 1 to Cue Biopharma, Inc. 2016 Non-Employee</w:t>
              </w:r>
            </w:hyperlink>
          </w:p>
        </w:tc>
        <w:tc>
          <w:tcPr>
            <w:tcW w:w="440" w:type="dxa"/>
            <w:vAlign w:val="bottom"/>
            <w:gridSpan w:val="1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100" w:type="dxa"/>
            <w:vAlign w:val="bottom"/>
            <w:gridSpan w:val="32"/>
          </w:tcPr>
          <w:p>
            <w:pPr>
              <w:spacing w:after="0" w:line="196"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Equity Incentive Plan</w:t>
              </w:r>
            </w:hyperlink>
          </w:p>
        </w:tc>
      </w:tr>
      <w:tr>
        <w:trPr>
          <w:trHeight w:val="20"/>
        </w:trPr>
        <w:tc>
          <w:tcPr>
            <w:tcW w:w="9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48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Consulting Agreement effective June 7, 2023 entered into between</w:t>
              </w:r>
            </w:hyperlink>
          </w:p>
        </w:tc>
        <w:tc>
          <w:tcPr>
            <w:tcW w:w="24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100" w:type="dxa"/>
            <w:vAlign w:val="bottom"/>
            <w:gridSpan w:val="32"/>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Cue Biopharma, Inc. and Peter A Kiener, D.Phil</w:t>
              </w:r>
            </w:hyperlink>
          </w:p>
        </w:tc>
      </w:tr>
      <w:tr>
        <w:trPr>
          <w:trHeight w:val="20"/>
        </w:trPr>
        <w:tc>
          <w:tcPr>
            <w:tcW w:w="9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51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Amendment No. 1 to Consulting Agreement between Cue Biopharma,</w:t>
              </w:r>
            </w:hyperlink>
          </w:p>
        </w:tc>
      </w:tr>
      <w:tr>
        <w:trPr>
          <w:trHeight w:val="196"/>
        </w:trPr>
        <w:tc>
          <w:tcPr>
            <w:tcW w:w="920" w:type="dxa"/>
            <w:vAlign w:val="bottom"/>
          </w:tcPr>
          <w:p>
            <w:pPr>
              <w:spacing w:after="0"/>
              <w:rPr>
                <w:sz w:val="17"/>
                <w:szCs w:val="17"/>
                <w:color w:val="auto"/>
              </w:rPr>
            </w:pPr>
          </w:p>
        </w:tc>
        <w:tc>
          <w:tcPr>
            <w:tcW w:w="36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67">
              <w:r>
                <w:rPr>
                  <w:rFonts w:ascii="Times New Roman" w:cs="Times New Roman" w:eastAsia="Times New Roman" w:hAnsi="Times New Roman"/>
                  <w:sz w:val="18"/>
                  <w:szCs w:val="18"/>
                  <w:color w:val="0000FF"/>
                  <w:w w:val="99"/>
                </w:rPr>
                <w:t>Inc. and Peter A. Kiener, dated September 1, 2023</w:t>
              </w:r>
            </w:hyperlink>
          </w:p>
        </w:tc>
        <w:tc>
          <w:tcPr>
            <w:tcW w:w="20" w:type="dxa"/>
            <w:vAlign w:val="bottom"/>
            <w:tcBorders>
              <w:bottom w:val="single" w:sz="8" w:color="0000EE"/>
            </w:tcBorders>
          </w:tcPr>
          <w:p>
            <w:pPr>
              <w:spacing w:after="0"/>
              <w:rPr>
                <w:sz w:val="17"/>
                <w:szCs w:val="17"/>
                <w:color w:val="auto"/>
              </w:rPr>
            </w:pPr>
          </w:p>
        </w:tc>
        <w:tc>
          <w:tcPr>
            <w:tcW w:w="1440" w:type="dxa"/>
            <w:vAlign w:val="bottom"/>
            <w:gridSpan w:val="17"/>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51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Second Amendment to the Amended and Restated License Agreement</w:t>
              </w:r>
            </w:hyperlink>
          </w:p>
        </w:tc>
      </w:tr>
      <w:tr>
        <w:trPr>
          <w:trHeight w:val="196"/>
        </w:trPr>
        <w:tc>
          <w:tcPr>
            <w:tcW w:w="920" w:type="dxa"/>
            <w:vAlign w:val="bottom"/>
          </w:tcPr>
          <w:p>
            <w:pPr>
              <w:spacing w:after="0"/>
              <w:rPr>
                <w:sz w:val="17"/>
                <w:szCs w:val="17"/>
                <w:color w:val="auto"/>
              </w:rPr>
            </w:pPr>
          </w:p>
        </w:tc>
        <w:tc>
          <w:tcPr>
            <w:tcW w:w="5100" w:type="dxa"/>
            <w:vAlign w:val="bottom"/>
            <w:gridSpan w:val="32"/>
          </w:tcPr>
          <w:p>
            <w:pPr>
              <w:spacing w:after="0" w:line="19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with Albert Einstein College of Medicine dated January 13, 2024</w:t>
              </w:r>
            </w:hyperlink>
          </w:p>
        </w:tc>
      </w:tr>
      <w:tr>
        <w:trPr>
          <w:trHeight w:val="20"/>
        </w:trPr>
        <w:tc>
          <w:tcPr>
            <w:tcW w:w="9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7"/>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49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Collaboration and License Agreement with ImmunoScape Pte. Ltd.</w:t>
            </w:r>
          </w:p>
        </w:tc>
        <w:tc>
          <w:tcPr>
            <w:tcW w:w="20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1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dated November 6, 2025</w:t>
            </w:r>
          </w:p>
        </w:tc>
      </w:tr>
      <w:tr>
        <w:trPr>
          <w:trHeight w:val="20"/>
        </w:trPr>
        <w:tc>
          <w:tcPr>
            <w:tcW w:w="9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50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Third Amendment to the Amended and Restated License Agreement</w:t>
              </w:r>
            </w:hyperlink>
          </w:p>
        </w:tc>
        <w:tc>
          <w:tcPr>
            <w:tcW w:w="10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100" w:type="dxa"/>
            <w:vAlign w:val="bottom"/>
            <w:gridSpan w:val="32"/>
          </w:tcPr>
          <w:p>
            <w:pPr>
              <w:spacing w:after="0" w:line="19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with Albert Einstein College of Medicine dated April 10, 2025</w:t>
              </w:r>
            </w:hyperlink>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4520" w:type="dxa"/>
            <w:vAlign w:val="bottom"/>
            <w:tcBorders>
              <w:top w:val="single" w:sz="8" w:color="0000FF"/>
            </w:tcBorders>
            <w:gridSpan w:val="18"/>
          </w:tcPr>
          <w:p>
            <w:pPr>
              <w:spacing w:after="0"/>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Form of inducement stock option award</w:t>
              </w:r>
            </w:hyperlink>
          </w:p>
        </w:tc>
        <w:tc>
          <w:tcPr>
            <w:tcW w:w="580" w:type="dxa"/>
            <w:vAlign w:val="bottom"/>
            <w:gridSpan w:val="14"/>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5100" w:type="dxa"/>
            <w:vAlign w:val="bottom"/>
            <w:gridSpan w:val="32"/>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Amended and Restated Insider Trading Policy effective March 21,</w:t>
              </w:r>
            </w:hyperlink>
          </w:p>
        </w:tc>
      </w:tr>
      <w:tr>
        <w:trPr>
          <w:trHeight w:val="196"/>
        </w:trPr>
        <w:tc>
          <w:tcPr>
            <w:tcW w:w="920" w:type="dxa"/>
            <w:vAlign w:val="bottom"/>
          </w:tcPr>
          <w:p>
            <w:pPr>
              <w:spacing w:after="0"/>
              <w:rPr>
                <w:sz w:val="17"/>
                <w:szCs w:val="17"/>
                <w:color w:val="auto"/>
              </w:rPr>
            </w:pPr>
          </w:p>
        </w:tc>
        <w:tc>
          <w:tcPr>
            <w:tcW w:w="40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2025</w:t>
              </w:r>
            </w:hyperlink>
          </w:p>
        </w:tc>
        <w:tc>
          <w:tcPr>
            <w:tcW w:w="20" w:type="dxa"/>
            <w:vAlign w:val="bottom"/>
            <w:tcBorders>
              <w:top w:val="single" w:sz="8" w:color="0000FF"/>
            </w:tcBorders>
          </w:tcPr>
          <w:p>
            <w:pPr>
              <w:spacing w:after="0"/>
              <w:rPr>
                <w:sz w:val="17"/>
                <w:szCs w:val="17"/>
                <w:color w:val="auto"/>
              </w:rPr>
            </w:pPr>
          </w:p>
        </w:tc>
        <w:tc>
          <w:tcPr>
            <w:tcW w:w="10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1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List of Subsidiaries</w:t>
            </w:r>
          </w:p>
        </w:tc>
      </w:tr>
      <w:tr>
        <w:trPr>
          <w:trHeight w:val="20"/>
        </w:trPr>
        <w:tc>
          <w:tcPr>
            <w:tcW w:w="9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gridSpan w:val="3"/>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08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Consent of RSM US LLP, Independent Registered Public Accounting</w:t>
            </w: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Firm</w:t>
            </w:r>
          </w:p>
        </w:tc>
        <w:tc>
          <w:tcPr>
            <w:tcW w:w="20" w:type="dxa"/>
            <w:vAlign w:val="bottom"/>
            <w:tcBorders>
              <w:bottom w:val="single" w:sz="8" w:color="0000EE"/>
            </w:tcBorders>
          </w:tcPr>
          <w:p>
            <w:pPr>
              <w:spacing w:after="0"/>
              <w:rPr>
                <w:sz w:val="17"/>
                <w:szCs w:val="17"/>
                <w:color w:val="auto"/>
              </w:rPr>
            </w:pPr>
          </w:p>
        </w:tc>
        <w:tc>
          <w:tcPr>
            <w:tcW w:w="4720" w:type="dxa"/>
            <w:vAlign w:val="bottom"/>
            <w:gridSpan w:val="29"/>
          </w:tcPr>
          <w:p>
            <w:pPr>
              <w:spacing w:after="0"/>
              <w:rPr>
                <w:sz w:val="17"/>
                <w:szCs w:val="17"/>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1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w:t>
            </w:r>
          </w:p>
        </w:tc>
      </w:tr>
      <w:tr>
        <w:trPr>
          <w:trHeight w:val="20"/>
        </w:trPr>
        <w:tc>
          <w:tcPr>
            <w:tcW w:w="920" w:type="dxa"/>
            <w:vAlign w:val="bottom"/>
          </w:tcPr>
          <w:p>
            <w:pPr>
              <w:spacing w:after="0" w:line="20" w:lineRule="exact"/>
              <w:rPr>
                <w:sz w:val="1"/>
                <w:szCs w:val="1"/>
                <w:color w:val="auto"/>
              </w:rPr>
            </w:pPr>
          </w:p>
        </w:tc>
        <w:tc>
          <w:tcPr>
            <w:tcW w:w="2380" w:type="dxa"/>
            <w:vAlign w:val="bottom"/>
            <w:gridSpan w:val="9"/>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300" w:type="dxa"/>
            <w:vAlign w:val="bottom"/>
            <w:gridSpan w:val="10"/>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7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Rule 15d-14(a) of the</w:t>
            </w:r>
          </w:p>
        </w:tc>
        <w:tc>
          <w:tcPr>
            <w:tcW w:w="360" w:type="dxa"/>
            <w:vAlign w:val="bottom"/>
            <w:gridSpan w:val="11"/>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3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w:t>
            </w:r>
          </w:p>
        </w:tc>
        <w:tc>
          <w:tcPr>
            <w:tcW w:w="2720" w:type="dxa"/>
            <w:vAlign w:val="bottom"/>
            <w:gridSpan w:val="23"/>
          </w:tcPr>
          <w:p>
            <w:pPr>
              <w:spacing w:after="0"/>
              <w:rPr>
                <w:sz w:val="17"/>
                <w:szCs w:val="17"/>
                <w:color w:val="auto"/>
              </w:rPr>
            </w:pPr>
          </w:p>
        </w:tc>
      </w:tr>
      <w:tr>
        <w:trPr>
          <w:trHeight w:val="547"/>
        </w:trPr>
        <w:tc>
          <w:tcPr>
            <w:tcW w:w="920" w:type="dxa"/>
            <w:vAlign w:val="bottom"/>
          </w:tcPr>
          <w:p>
            <w:pPr>
              <w:spacing w:after="0"/>
              <w:rPr>
                <w:sz w:val="24"/>
                <w:szCs w:val="24"/>
                <w:color w:val="auto"/>
              </w:rPr>
            </w:pPr>
          </w:p>
        </w:tc>
        <w:tc>
          <w:tcPr>
            <w:tcW w:w="4840" w:type="dxa"/>
            <w:vAlign w:val="bottom"/>
            <w:gridSpan w:val="23"/>
          </w:tcPr>
          <w:p>
            <w:pPr>
              <w:ind w:left="4560"/>
              <w:spacing w:after="0"/>
              <w:rPr>
                <w:sz w:val="20"/>
                <w:szCs w:val="20"/>
                <w:color w:val="auto"/>
              </w:rPr>
            </w:pPr>
            <w:r>
              <w:rPr>
                <w:rFonts w:ascii="Times New Roman" w:cs="Times New Roman" w:eastAsia="Times New Roman" w:hAnsi="Times New Roman"/>
                <w:sz w:val="18"/>
                <w:szCs w:val="18"/>
                <w:color w:val="auto"/>
                <w:w w:val="96"/>
              </w:rPr>
              <w:t>112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648"/>
        </w:trPr>
        <w:tc>
          <w:tcPr>
            <w:tcW w:w="12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11/15/2022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648"/>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05/09/2023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1080"/>
        </w:trPr>
        <w:tc>
          <w:tcPr>
            <w:tcW w:w="12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8-K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864"/>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08/08/2023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648"/>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08/08/2023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648"/>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08/08/2023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648"/>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11/03/2023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648"/>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10.38</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03/28/2024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64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648"/>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10-Q</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05/12/2025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648"/>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10.43</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03/31/2025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405"/>
        </w:trPr>
        <w:tc>
          <w:tcPr>
            <w:tcW w:w="128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10-K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03/31/2025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020" w:space="340"/>
            <w:col w:w="4620"/>
          </w:cols>
          <w:pgMar w:left="320" w:top="1161" w:right="59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Rule 15d-14(a) of the</w:t>
            </w:r>
          </w:p>
        </w:tc>
        <w:tc>
          <w:tcPr>
            <w:tcW w:w="360" w:type="dxa"/>
            <w:vAlign w:val="bottom"/>
          </w:tcPr>
          <w:p>
            <w:pPr>
              <w:spacing w:after="0"/>
              <w:rPr>
                <w:sz w:val="17"/>
                <w:szCs w:val="17"/>
                <w:color w:val="auto"/>
              </w:rPr>
            </w:pP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3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w:t>
            </w:r>
          </w:p>
        </w:tc>
        <w:tc>
          <w:tcPr>
            <w:tcW w:w="20" w:type="dxa"/>
            <w:vAlign w:val="bottom"/>
            <w:tcBorders>
              <w:bottom w:val="single" w:sz="8" w:color="0000EE"/>
            </w:tcBorders>
          </w:tcPr>
          <w:p>
            <w:pPr>
              <w:spacing w:after="0"/>
              <w:rPr>
                <w:sz w:val="17"/>
                <w:szCs w:val="17"/>
                <w:color w:val="auto"/>
              </w:rPr>
            </w:pPr>
          </w:p>
        </w:tc>
        <w:tc>
          <w:tcPr>
            <w:tcW w:w="2700" w:type="dxa"/>
            <w:vAlign w:val="bottom"/>
            <w:gridSpan w:val="3"/>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as Adopted Pursuant</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360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Compensation Recovery Policy</w:t>
              </w:r>
            </w:hyperlink>
          </w:p>
        </w:tc>
        <w:tc>
          <w:tcPr>
            <w:tcW w:w="1500" w:type="dxa"/>
            <w:vAlign w:val="bottom"/>
            <w:gridSpan w:val="2"/>
          </w:tcPr>
          <w:p>
            <w:pPr>
              <w:spacing w:after="0"/>
              <w:rPr>
                <w:sz w:val="24"/>
                <w:szCs w:val="24"/>
                <w:color w:val="auto"/>
              </w:rPr>
            </w:pPr>
          </w:p>
        </w:tc>
        <w:tc>
          <w:tcPr>
            <w:tcW w:w="16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10-K</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97.1</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03/28/2024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001-38327</w:t>
            </w:r>
          </w:p>
        </w:tc>
      </w:tr>
      <w:tr>
        <w:trPr>
          <w:trHeight w:val="20"/>
        </w:trPr>
        <w:tc>
          <w:tcPr>
            <w:tcW w:w="920" w:type="dxa"/>
            <w:vAlign w:val="bottom"/>
          </w:tcPr>
          <w:p>
            <w:pPr>
              <w:spacing w:after="0" w:line="20" w:lineRule="exact"/>
              <w:rPr>
                <w:sz w:val="1"/>
                <w:szCs w:val="1"/>
                <w:color w:val="auto"/>
              </w:rPr>
            </w:pPr>
          </w:p>
        </w:tc>
        <w:tc>
          <w:tcPr>
            <w:tcW w:w="2300" w:type="dxa"/>
            <w:vAlign w:val="bottom"/>
            <w:tcBorders>
              <w:right w:val="single" w:sz="8" w:color="0000EE"/>
            </w:tcBorders>
            <w:shd w:val="clear" w:color="auto" w:fill="0000FF"/>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1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eXtensible Business Reporting Language (XBRL) Instance</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 – the instance document does not appear in the Interactive</w:t>
            </w: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w:t>
            </w: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Documents</w:t>
            </w: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9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w:t>
            </w:r>
          </w:p>
        </w:tc>
        <w:tc>
          <w:tcPr>
            <w:tcW w:w="1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p>
        </w:tc>
        <w:tc>
          <w:tcPr>
            <w:tcW w:w="51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applicable taxonomy extension information contained in Exhibits 101)</w:t>
            </w:r>
          </w:p>
        </w:tc>
        <w:tc>
          <w:tcPr>
            <w:tcW w:w="1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Indicates management compensatory plan, contract or arrangement.</w:t>
      </w:r>
    </w:p>
    <w:p>
      <w:pPr>
        <w:spacing w:after="0" w:line="31" w:lineRule="exact"/>
        <w:rPr>
          <w:sz w:val="20"/>
          <w:szCs w:val="20"/>
          <w:color w:val="auto"/>
        </w:rPr>
      </w:pPr>
    </w:p>
    <w:p>
      <w:pPr>
        <w:ind w:right="460" w:firstLine="8"/>
        <w:spacing w:after="0" w:line="250" w:lineRule="auto"/>
        <w:tabs>
          <w:tab w:leader="none" w:pos="1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as to portions of this exhibit. Confidential materials omitted and filed separately with the Securities and Exchange Commission.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omitted pursuant to Item 601(b)(10)(iv)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-550545</wp:posOffset>
            </wp:positionV>
            <wp:extent cx="190309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61" w:right="599" w:bottom="1440" w:gutter="0" w:footer="0" w:header="0"/>
        </w:sectPr>
      </w:pPr>
    </w:p>
    <w:bookmarkStart w:id="144" w:name="page145"/>
    <w:bookmarkEnd w:id="14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852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Cue Biopharma, Inc.</w:t>
            </w:r>
          </w:p>
        </w:tc>
      </w:tr>
      <w:tr>
        <w:trPr>
          <w:trHeight w:val="43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16, 2026</w:t>
            </w:r>
          </w:p>
        </w:tc>
        <w:tc>
          <w:tcPr>
            <w:tcW w:w="852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By:   /s/ Usman Azam</w:t>
            </w:r>
          </w:p>
        </w:tc>
      </w:tr>
      <w:tr>
        <w:trPr>
          <w:trHeight w:val="191"/>
        </w:trPr>
        <w:tc>
          <w:tcPr>
            <w:tcW w:w="27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Usman Azam</w:t>
            </w:r>
          </w:p>
        </w:tc>
      </w:tr>
      <w:tr>
        <w:trPr>
          <w:trHeight w:val="216"/>
        </w:trPr>
        <w:tc>
          <w:tcPr>
            <w:tcW w:w="27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27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2720" w:type="dxa"/>
            <w:vAlign w:val="bottom"/>
          </w:tcPr>
          <w:p>
            <w:pPr>
              <w:spacing w:after="0"/>
              <w:rPr>
                <w:sz w:val="24"/>
                <w:szCs w:val="24"/>
                <w:color w:val="auto"/>
              </w:rPr>
            </w:pPr>
          </w:p>
        </w:tc>
        <w:tc>
          <w:tcPr>
            <w:tcW w:w="852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tc>
      </w:tr>
    </w:tbl>
    <w:p>
      <w:pPr>
        <w:spacing w:after="0" w:line="15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the undersigned officers and directors of Cue Biopharma, Inc., hereby severally constitute and appoint Usman Azam and Lucinda Warren, our true and lawful attorneys, with full power to him or her to sign for us and in our names in the capacities indicated below, any amendments to this Annual Report on Form 10-K, and generally to do all things in our names and on our behalf in such capacities to enable Cue Biopharma, Inc. to comply with the provisions of the Securities Exchange Act of 1934, as amended, and all the requirements of the Securities Exchange Commission.</w:t>
      </w:r>
    </w:p>
    <w:p>
      <w:pPr>
        <w:spacing w:after="0" w:line="13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20" w:type="dxa"/>
            <w:vAlign w:val="bottom"/>
          </w:tcPr>
          <w:p>
            <w:pPr>
              <w:spacing w:after="0"/>
              <w:rPr>
                <w:sz w:val="20"/>
                <w:szCs w:val="20"/>
                <w:color w:val="auto"/>
              </w:rPr>
            </w:pPr>
          </w:p>
        </w:tc>
        <w:tc>
          <w:tcPr>
            <w:tcW w:w="470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31"/>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Usman Azam</w:t>
            </w: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Usman Azam</w:t>
            </w: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9"/>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Lucinda Warren</w:t>
            </w: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and Business Officer</w:t>
            </w:r>
          </w:p>
        </w:tc>
        <w:tc>
          <w:tcPr>
            <w:tcW w:w="1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Lucinda Warren</w:t>
            </w: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9"/>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A. Kiener</w:t>
            </w: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Peter A. Kiener</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33"/>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Jill Marie Broadfoot</w:t>
            </w: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Jill Marie Broadfoot</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19"/>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Pamela Garzone</w:t>
            </w: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Pamela Garzone</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14"/>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Verheyen</w:t>
            </w: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Patrick Verheyen</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14"/>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Frank Morich</w:t>
            </w: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Frank Morich</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14"/>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Pasha Sarraf</w:t>
            </w:r>
          </w:p>
        </w:tc>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16, 2026</w:t>
            </w:r>
          </w:p>
        </w:tc>
      </w:tr>
      <w:tr>
        <w:trPr>
          <w:trHeight w:val="228"/>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Pasha Sarraf</w:t>
            </w:r>
          </w:p>
        </w:tc>
        <w:tc>
          <w:tcPr>
            <w:tcW w:w="1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1555"/>
        </w:trPr>
        <w:tc>
          <w:tcPr>
            <w:tcW w:w="4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0"/>
          <w:szCs w:val="20"/>
          <w:b w:val="1"/>
          <w:bCs w:val="1"/>
          <w:color w:val="auto"/>
        </w:rPr>
        <w:t>EXHIBIT 4.2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COMMON STOCK OF CUE BIOPHARMA,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REGISTERED PURSUANT TO SECTION 12 OF THE SECURITIES EXCHANGE ACT OF 1934</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following information is a summary of information concerning the common stock, par value $0.001 per share (the “Common Stock”), of Cue Biopharma, Inc. (“we,” “our,” or “us”) and does not purport to be complete. It is subject to and qualified in its entirety by reference to our Amended and Restated Certificate of Incorporation, as amended (the “Certificate of Incorporation”), and Amended and Restated Bylaws (the “Bylaws”), each of which are incorporated by reference as an exhibit to the Annual Report on Form 10-K of which this exhibit is a part.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Common Stock</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Certificate of Incorporation authorizes the issuance of 300,000,000 shares of Common Stock. Our authorized but unissued shares of Common Stock are available for issuance without further action by our stockholders, unless such action is required by applicable law or the rules of any stock exchange or automated quotation system on which our securities may be listed or traded. Our Common Stock is registered under Section 12(b) of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Each holder of Common Stock is entitled to one vote for each such share outstanding in the holder’s name on each matter submitted to the stockholders on which the holders of shares of Common Stock are entitled to vote. No holder of Common Stock is entitled to cumulate votes in voting for directors. All elections of directors shall be decided by a plurality of the votes cast, and, unless otherwise provided by our Certificate of Incorporation, our Bylaws, the rules or regulations of any stock exchange applicable to us or applicable law or pursuant to any regulation applicable to us or our securities, all other elections and questions shall be decided by the affirmative vote of the holders of a majority in voting power of the shares of stock which are present in person or by proxy and entitled to vote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2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Subject to the rights of the holders of preferred stock, holders of Common Stock are entitled to such dividends and other distributions as may be declared by our board of directors out of assets or funds legally available for such purpose and shall share equally on a per share basis in such dividends and distributions.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Rights and Preferences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Shares of Common Stock are neither redeemable nor convertible. Holders of Common Stock have no preemptive or subscription rights to purchase any of our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Liquidation</w:t>
      </w:r>
    </w:p>
    <w:p>
      <w:pPr>
        <w:spacing w:after="0" w:line="22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In the event of our liquidation, dissolution or winding up, holders of Common Stock are entitled to receive, pro rata, our remaining assets which are available for distribution to stockholders, subject to the rights of the holders of preferred stock and after payments of all debts and other liabilities.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6" w:name="page147"/>
    <w:bookmarkEnd w:id="146"/>
    <w:p>
      <w:pPr>
        <w:jc w:val="both"/>
        <w:spacing w:after="0" w:line="242" w:lineRule="auto"/>
        <w:rPr>
          <w:sz w:val="20"/>
          <w:szCs w:val="20"/>
          <w:color w:val="auto"/>
        </w:rPr>
      </w:pPr>
      <w:r>
        <w:rPr>
          <w:rFonts w:ascii="Times New Roman" w:cs="Times New Roman" w:eastAsia="Times New Roman" w:hAnsi="Times New Roman"/>
          <w:sz w:val="20"/>
          <w:szCs w:val="20"/>
          <w:color w:val="auto"/>
        </w:rPr>
        <w:t>The Certificate of Incorporation authorizes the issuance of 10,000,000 shares of preferred stock. Our authorized but unissued shares of preferred stock are available for issuance without further action by our stockholders, unless such action is required by applicable law or the rules of any stock exchange or automated quotation system on which our securities may be listed or traded. Our board of directors also has the authority, without further action by our stockholders, to establish from time to time for each such series the number of shares to be included in each such series and to fix the designations, powers, rights, and preferences of the shares of each such series, and the qualifications, limitations and restrictions thereof. Such designations, powers, rights and preferences could include, without limitation, voting rights, dividend rights, dissolution rights, conversion rights, exchange rights, redemption rights and liquidation preferences,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Provisions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Certain provisions of Delaware law, the Certificate of Incorporation and the Bylaws could have the effect of delaying, deferring or discouraging another person from acquiring control of us. These provisions, which are summarized below, may have the effect of discouraging takeover bids.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Delaware Law</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subject to Section 203 of the Delaware General Corporation Law (the “DGCL”), an anti-takeover law. In general, Section 203 prohibits a Delaware corporation from engaging in any business combination (as defined below) with any interested stockholder (as defined below) for a period of three years following the date that the stockholder became an interested stockholder, unless:</w:t>
      </w:r>
    </w:p>
    <w:p>
      <w:pPr>
        <w:spacing w:after="0" w:line="174" w:lineRule="exact"/>
        <w:rPr>
          <w:sz w:val="20"/>
          <w:szCs w:val="20"/>
          <w:color w:val="auto"/>
        </w:rPr>
      </w:pPr>
    </w:p>
    <w:p>
      <w:pPr>
        <w:ind w:left="760" w:right="20" w:hanging="752"/>
        <w:spacing w:after="0" w:line="269" w:lineRule="auto"/>
        <w:tabs>
          <w:tab w:leader="none" w:pos="40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such time, the board of directors of the corporation approved either the business combination or the transaction that resulted in the stockholder becoming an interested stockholder;</w:t>
      </w:r>
    </w:p>
    <w:p>
      <w:pPr>
        <w:spacing w:after="0" w:line="159" w:lineRule="exact"/>
        <w:rPr>
          <w:rFonts w:ascii="Times New Roman" w:cs="Times New Roman" w:eastAsia="Times New Roman" w:hAnsi="Times New Roman"/>
          <w:sz w:val="20"/>
          <w:szCs w:val="20"/>
          <w:color w:val="auto"/>
        </w:rPr>
      </w:pPr>
    </w:p>
    <w:p>
      <w:pPr>
        <w:ind w:left="760" w:hanging="752"/>
        <w:spacing w:after="0" w:line="245" w:lineRule="auto"/>
        <w:tabs>
          <w:tab w:leader="none" w:pos="40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of voting stock outstanding (but not the voting stock owned by the interested stockholder) those shares owned by persons who are directors and officers and by excluding employee stock plans in which employee participants do not have the right to determine confidentially whether shares held subject to the plan will be tendered in a tender or exchange offer; or</w:t>
      </w:r>
    </w:p>
    <w:p>
      <w:pPr>
        <w:spacing w:after="0" w:line="184" w:lineRule="exact"/>
        <w:rPr>
          <w:rFonts w:ascii="Times New Roman" w:cs="Times New Roman" w:eastAsia="Times New Roman" w:hAnsi="Times New Roman"/>
          <w:sz w:val="20"/>
          <w:szCs w:val="20"/>
          <w:color w:val="auto"/>
        </w:rPr>
      </w:pPr>
    </w:p>
    <w:p>
      <w:pPr>
        <w:ind w:left="760" w:hanging="752"/>
        <w:spacing w:after="0" w:line="254" w:lineRule="auto"/>
        <w:tabs>
          <w:tab w:leader="none" w:pos="40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subsequent to such time,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general, Section 203 defines “business combination” to include the following:</w:t>
      </w:r>
    </w:p>
    <w:p>
      <w:pPr>
        <w:spacing w:after="0" w:line="216" w:lineRule="exact"/>
        <w:rPr>
          <w:sz w:val="20"/>
          <w:szCs w:val="20"/>
          <w:color w:val="auto"/>
        </w:rPr>
      </w:pPr>
    </w:p>
    <w:p>
      <w:pPr>
        <w:ind w:left="400" w:hanging="392"/>
        <w:spacing w:after="0"/>
        <w:tabs>
          <w:tab w:leader="none" w:pos="4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or consolidation involving the corporation and the interested stockholder;</w:t>
      </w:r>
    </w:p>
    <w:p>
      <w:pPr>
        <w:spacing w:after="0" w:line="200" w:lineRule="exact"/>
        <w:rPr>
          <w:rFonts w:ascii="Times New Roman" w:cs="Times New Roman" w:eastAsia="Times New Roman" w:hAnsi="Times New Roman"/>
          <w:sz w:val="20"/>
          <w:szCs w:val="20"/>
          <w:color w:val="auto"/>
        </w:rPr>
      </w:pPr>
    </w:p>
    <w:p>
      <w:pPr>
        <w:spacing w:after="0" w:line="213" w:lineRule="exact"/>
        <w:rPr>
          <w:rFonts w:ascii="Times New Roman" w:cs="Times New Roman" w:eastAsia="Times New Roman" w:hAnsi="Times New Roman"/>
          <w:sz w:val="20"/>
          <w:szCs w:val="20"/>
          <w:color w:val="auto"/>
        </w:rPr>
      </w:pPr>
    </w:p>
    <w:p>
      <w:pPr>
        <w:ind w:left="5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ind w:left="760" w:right="20" w:hanging="752"/>
        <w:spacing w:after="0" w:line="269" w:lineRule="auto"/>
        <w:tabs>
          <w:tab w:leader="none" w:pos="40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lease, exchange, mortgage, transfer, pledge or other disposition of 10% or more of the assets of the corporation involving the interested stockholder;</w:t>
      </w:r>
    </w:p>
    <w:p>
      <w:pPr>
        <w:spacing w:after="0" w:line="159" w:lineRule="exact"/>
        <w:rPr>
          <w:rFonts w:ascii="Times New Roman" w:cs="Times New Roman" w:eastAsia="Times New Roman" w:hAnsi="Times New Roman"/>
          <w:sz w:val="20"/>
          <w:szCs w:val="20"/>
          <w:color w:val="auto"/>
        </w:rPr>
      </w:pPr>
    </w:p>
    <w:p>
      <w:pPr>
        <w:ind w:left="760" w:right="20" w:hanging="752"/>
        <w:spacing w:after="0" w:line="269" w:lineRule="auto"/>
        <w:tabs>
          <w:tab w:leader="none" w:pos="40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certain exceptions, any transaction that results in the issuance or transfer by the corporation of any stock of the corporation to the interested stockholder;</w:t>
      </w:r>
    </w:p>
    <w:p>
      <w:pPr>
        <w:spacing w:after="0" w:line="159" w:lineRule="exact"/>
        <w:rPr>
          <w:rFonts w:ascii="Times New Roman" w:cs="Times New Roman" w:eastAsia="Times New Roman" w:hAnsi="Times New Roman"/>
          <w:sz w:val="20"/>
          <w:szCs w:val="20"/>
          <w:color w:val="auto"/>
        </w:rPr>
      </w:pPr>
    </w:p>
    <w:p>
      <w:pPr>
        <w:ind w:left="760" w:right="20" w:hanging="752"/>
        <w:spacing w:after="0" w:line="269" w:lineRule="auto"/>
        <w:tabs>
          <w:tab w:leader="none" w:pos="40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limited exceptions, any transaction involving the corporation that has the effect of increasing the proportionate share of the stock of any class or series of the corporation beneficially owned by the interested stockholder; or</w:t>
      </w:r>
    </w:p>
    <w:p>
      <w:pPr>
        <w:spacing w:after="0" w:line="159" w:lineRule="exact"/>
        <w:rPr>
          <w:rFonts w:ascii="Times New Roman" w:cs="Times New Roman" w:eastAsia="Times New Roman" w:hAnsi="Times New Roman"/>
          <w:sz w:val="20"/>
          <w:szCs w:val="20"/>
          <w:color w:val="auto"/>
        </w:rPr>
      </w:pPr>
    </w:p>
    <w:p>
      <w:pPr>
        <w:ind w:left="760" w:right="20" w:hanging="752"/>
        <w:spacing w:after="0" w:line="269" w:lineRule="auto"/>
        <w:tabs>
          <w:tab w:leader="none" w:pos="40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interested stockholder of the benefit of any loans, advances, guarantees, pledges or other financial benefits provided by or through the corporation.</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Section 203 generally defines an interested stockholder as any entity or person beneficially owning 15% or more of the outstanding voting stock of the corporation, or who is an affiliate or associate of the corporation and beneficially owned 15% or more of the outstanding voting stock of the corporation at any time within a three-year period immediately prior to the date of determining whether such person is an interested stockholder, and any entity or person affiliated with or controlling or controlled by any of these entities or persons.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Certificate of Incorporation and Bylaw Provisions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Certificate of Incorporation and the Bylaws include a number of provisions that could deter hostile takeovers or delay or prevent changes in control of us. Certain of these provisions are summarized in the following paragraphs.</w:t>
      </w:r>
    </w:p>
    <w:p>
      <w:pPr>
        <w:spacing w:after="0" w:line="15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u w:val="single" w:color="auto"/>
          <w:color w:val="auto"/>
        </w:rPr>
        <w:t>Effects of Authorized But Unissued Common Stock</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One of the effects of the existence of authorized but unissued Common Stock may be to enable our board of directors to make more difficult or to discourage an attempt to obtain control of us by means of a merger, tender offer, proxy contest or otherwise, and thereby to protect the continuity of management. If, in the due exercise of its fiduciary obligations, the board of directors were to determine that a takeover proposal was not in our best interest, such shares could be issued by the board of directors without stockholder approval in one or more transactions that might prevent or render more difficult or costly the completion of the takeover transaction by diluting the voting or other rights of the proposed acquirer or insurgent stockholder group, by putting a substantial voting block in institutional or other hands that might undertake to support the position of the incumbent board of directors, by effecting an acquisition that might complicate or preclude the takeover, or otherwise.</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u w:val="single" w:color="auto"/>
          <w:color w:val="auto"/>
        </w:rPr>
        <w:t>No Cumulative Voting</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Certificate of Incorporation does not provide for cumulative voting in the election of directors. Cumulative voting would have allowed holders of less than a majority of the stock to elect some directors.</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u w:val="single" w:color="auto"/>
          <w:color w:val="auto"/>
        </w:rPr>
        <w:t>Director Vacancies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Certificate of Incorporation provides that all vacancies may be filled only by the affirmative vote of a majority of directors then in office, even if less than a quorum, or by a sole remaining director.</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Stockholder Action; Special Meeting of Stockholders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Bylaws provide that stockholders may act by written consent. However, stockholders pursuing an action by written consent will be required to comply with certain notice and record date requirements that are set forth in the DGCL. Unless otherwise prescribed by statute or in the Certificate of Incorporation, a special meeting of stockholders may be called for any purpose or purposes, as shall be stated in the notice of the meeting: (1) by the Chairman of the board of directors, the Chief Executive Officer, the President (in the absence of a chief executive officer) or a</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jc w:val="both"/>
        <w:spacing w:after="0" w:line="244" w:lineRule="auto"/>
        <w:rPr>
          <w:sz w:val="20"/>
          <w:szCs w:val="20"/>
          <w:color w:val="auto"/>
        </w:rPr>
      </w:pPr>
      <w:r>
        <w:rPr>
          <w:rFonts w:ascii="Times New Roman" w:cs="Times New Roman" w:eastAsia="Times New Roman" w:hAnsi="Times New Roman"/>
          <w:sz w:val="20"/>
          <w:szCs w:val="20"/>
          <w:color w:val="auto"/>
        </w:rPr>
        <w:t>majority of the Whole Board of directors or (2) by the Secretary upon the written request of the holders of record of at least 20% of the outstanding shares of Common Stock. This provision could prevent stockholders from calling a special meeting because, unless certain significant stockholders were to join with them, they might not obtain the percentage necessary to request the meeting. Therefore, stockholders holding less than 20% of issued and outstanding Common Stock, without the assistance of management, may be unable to propose a vote on any transaction which may delay, defer or prevent a change of control, even if the transaction were in the best interests of our stockholders. “Whole Board” refers to the total number of authorized directors whether or not there exist any vacancies in previously authorized directorships.</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Advance Notice Requirements for Stockholder Proposals and Director Nominations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Bylaws establish advance notice procedures with respect to stockholder proposals and the nomination of candidates for election as director. In order for any matter to be “properly brought” before a meeting, a stockholder will have to comply with such advance notice procedures and provide us with certain information. The Bylaws allow the board of directors to adopt rules and regulations for the conduct of meetings of stockholders and for the person presiding over a meeting of stockholders to convene and (for any or no reason) to adjourn the meeting, to prescribe such rules, regulations and procedures and to do all such acts as, in the judgment of such presiding person, are appropriate for the proper conduct of the meeting, except to the extent inconsistent with such rules and regulations as adopted by the board of directors. This may have the effect of precluding the conduct of certain business at a meeting if such rules and regulations are not followed. These provisions may also defer, delay or discourage a potential acquirer from conducting a solicitation of proxies to elect the acquirer’s own slate of directors or otherwise attempting to influence or obtain control of us.</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Supermajority Voting for Amendments to Our Governing Documents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Certain specified amendments to the Certificate of Incorporation require the affirmative vote of at least 66 2/3% of the voting power of the outstanding shares of stock entitled to vote generally in the election of directors, voting together as a single class. The Certificate of Incorporation provides that the board of directors is expressly authorized to adopt, amend or repeal the Bylaws and that our stockholders may adopt, amend or repeal the Bylaws only with the approval of at least 66 2/3% of the voting power of all of the then outstanding shares of the capital stock entitled to vote generally in the election of directors, voting together as a single class.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Choice of Forum</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Certificate of Incorporation provides that, subject to certain exceptions, the Court of Chancery of the State of Delaware will be the sole and exclusive forum for any claim, including any derivative claim, (i) that is based upon a violation of a duty by a current or former director or officer or stockholder in such capacity or (ii) as to which Title 8 of the Delaware Code confers jurisdiction upon the Court of Chancery, except for, as to each of (i) through (ii)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10.14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GRANT OF INCENTIVE STOCK OPTION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CUE BIOPHARMA,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2025 STOCK INCENTIVE PLAN</w:t>
      </w:r>
    </w:p>
    <w:p>
      <w:pPr>
        <w:spacing w:after="0" w:line="194" w:lineRule="exact"/>
        <w:rPr>
          <w:sz w:val="20"/>
          <w:szCs w:val="20"/>
          <w:color w:val="auto"/>
        </w:rPr>
      </w:pPr>
    </w:p>
    <w:p>
      <w:pPr>
        <w:ind w:right="80" w:firstLine="749"/>
        <w:spacing w:after="0" w:line="250" w:lineRule="auto"/>
        <w:rPr>
          <w:sz w:val="20"/>
          <w:szCs w:val="20"/>
          <w:color w:val="auto"/>
        </w:rPr>
      </w:pPr>
      <w:r>
        <w:rPr>
          <w:rFonts w:ascii="Arial" w:cs="Arial" w:eastAsia="Arial" w:hAnsi="Arial"/>
          <w:sz w:val="18"/>
          <w:szCs w:val="18"/>
          <w:color w:val="auto"/>
        </w:rPr>
        <w:t>FOR GOOD AND VALUABLE CONSIDERATION, Cue Biopharma, Inc. (the “</w:t>
      </w:r>
      <w:r>
        <w:rPr>
          <w:rFonts w:ascii="Arial" w:cs="Arial" w:eastAsia="Arial" w:hAnsi="Arial"/>
          <w:sz w:val="18"/>
          <w:szCs w:val="18"/>
          <w:b w:val="1"/>
          <w:bCs w:val="1"/>
          <w:color w:val="auto"/>
        </w:rPr>
        <w:t>Company</w:t>
      </w:r>
      <w:r>
        <w:rPr>
          <w:rFonts w:ascii="Arial" w:cs="Arial" w:eastAsia="Arial" w:hAnsi="Arial"/>
          <w:sz w:val="18"/>
          <w:szCs w:val="18"/>
          <w:color w:val="auto"/>
        </w:rPr>
        <w:t>”) hereby grants, pursuant to the provisions of the Cue Biopharma, Inc. 2025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to the Participant designated below, an Incentive Stock Option to purchase the number of Shares specified below (the “</w:t>
      </w:r>
      <w:r>
        <w:rPr>
          <w:rFonts w:ascii="Arial" w:cs="Arial" w:eastAsia="Arial" w:hAnsi="Arial"/>
          <w:sz w:val="18"/>
          <w:szCs w:val="18"/>
          <w:b w:val="1"/>
          <w:bCs w:val="1"/>
          <w:color w:val="auto"/>
        </w:rPr>
        <w:t>Option</w:t>
      </w:r>
      <w:r>
        <w:rPr>
          <w:rFonts w:ascii="Arial" w:cs="Arial" w:eastAsia="Arial" w:hAnsi="Arial"/>
          <w:sz w:val="18"/>
          <w:szCs w:val="18"/>
          <w:color w:val="auto"/>
        </w:rPr>
        <w:t>”). The Option shall be subject to this Notice of Grant (the “</w:t>
      </w:r>
      <w:r>
        <w:rPr>
          <w:rFonts w:ascii="Arial" w:cs="Arial" w:eastAsia="Arial" w:hAnsi="Arial"/>
          <w:sz w:val="18"/>
          <w:szCs w:val="18"/>
          <w:b w:val="1"/>
          <w:bCs w:val="1"/>
          <w:color w:val="auto"/>
        </w:rPr>
        <w:t>Notice of Grant</w:t>
      </w:r>
      <w:r>
        <w:rPr>
          <w:rFonts w:ascii="Arial" w:cs="Arial" w:eastAsia="Arial" w:hAnsi="Arial"/>
          <w:sz w:val="18"/>
          <w:szCs w:val="18"/>
          <w:color w:val="auto"/>
        </w:rPr>
        <w:t>”) and the attached Terms and Conditions of Stock Option (together with the Notice of Grant, the “</w:t>
      </w:r>
      <w:r>
        <w:rPr>
          <w:rFonts w:ascii="Arial" w:cs="Arial" w:eastAsia="Arial" w:hAnsi="Arial"/>
          <w:sz w:val="18"/>
          <w:szCs w:val="18"/>
          <w:b w:val="1"/>
          <w:bCs w:val="1"/>
          <w:color w:val="auto"/>
        </w:rPr>
        <w:t>Award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113665</wp:posOffset>
            </wp:positionV>
            <wp:extent cx="6988810" cy="30880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2">
                      <a:extLst>
                        <a:ext uri="{28A0092B-C50C-407E-A947-70E740481C1C}"/>
                      </a:extLst>
                    </a:blip>
                    <a:srcRect/>
                    <a:stretch>
                      <a:fillRect/>
                    </a:stretch>
                  </pic:blipFill>
                  <pic:spPr bwMode="auto">
                    <a:xfrm>
                      <a:off x="0" y="0"/>
                      <a:ext cx="6988810" cy="3088005"/>
                    </a:xfrm>
                    <a:prstGeom prst="rect">
                      <a:avLst/>
                    </a:prstGeom>
                    <a:noFill/>
                  </pic:spPr>
                </pic:pic>
              </a:graphicData>
            </a:graphic>
          </wp:anchor>
        </w:drawing>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Participant:</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247"/>
        </w:trPr>
        <w:tc>
          <w:tcPr>
            <w:tcW w:w="2600" w:type="dxa"/>
            <w:vAlign w:val="bottom"/>
          </w:tcPr>
          <w:p>
            <w:pPr>
              <w:spacing w:after="0"/>
              <w:rPr>
                <w:sz w:val="20"/>
                <w:szCs w:val="20"/>
                <w:color w:val="auto"/>
              </w:rPr>
            </w:pPr>
            <w:r>
              <w:rPr>
                <w:rFonts w:ascii="Arial" w:cs="Arial" w:eastAsia="Arial" w:hAnsi="Arial"/>
                <w:sz w:val="18"/>
                <w:szCs w:val="18"/>
                <w:b w:val="1"/>
                <w:bCs w:val="1"/>
                <w:color w:val="auto"/>
              </w:rPr>
              <w:t>Type of Option:</w:t>
            </w:r>
          </w:p>
        </w:tc>
        <w:tc>
          <w:tcPr>
            <w:tcW w:w="3060" w:type="dxa"/>
            <w:vAlign w:val="bottom"/>
          </w:tcPr>
          <w:p>
            <w:pPr>
              <w:ind w:left="1260"/>
              <w:spacing w:after="0"/>
              <w:rPr>
                <w:sz w:val="20"/>
                <w:szCs w:val="20"/>
                <w:color w:val="auto"/>
              </w:rPr>
            </w:pPr>
            <w:r>
              <w:rPr>
                <w:rFonts w:ascii="Arial" w:cs="Arial" w:eastAsia="Arial" w:hAnsi="Arial"/>
                <w:sz w:val="18"/>
                <w:szCs w:val="18"/>
                <w:color w:val="auto"/>
                <w:w w:val="98"/>
              </w:rPr>
              <w:t>Incentive Stock Option</w:t>
            </w:r>
          </w:p>
        </w:tc>
      </w:tr>
    </w:tbl>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Grant Date:</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Number of Shares Purchasable:</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Option Exercise Price per Share:</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Final Exercise Date:</w:t>
      </w:r>
    </w:p>
    <w:p>
      <w:pPr>
        <w:spacing w:after="0" w:line="200" w:lineRule="exact"/>
        <w:rPr>
          <w:sz w:val="20"/>
          <w:szCs w:val="20"/>
          <w:color w:val="auto"/>
        </w:rPr>
      </w:pPr>
    </w:p>
    <w:p>
      <w:pPr>
        <w:spacing w:after="0" w:line="331"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70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7840" w:type="dxa"/>
            <w:vAlign w:val="bottom"/>
          </w:tcPr>
          <w:p>
            <w:pPr>
              <w:ind w:left="1160"/>
              <w:spacing w:after="0"/>
              <w:rPr>
                <w:sz w:val="20"/>
                <w:szCs w:val="20"/>
                <w:color w:val="auto"/>
              </w:rPr>
            </w:pPr>
            <w:r>
              <w:rPr>
                <w:rFonts w:ascii="Arial" w:cs="Arial" w:eastAsia="Arial" w:hAnsi="Arial"/>
                <w:sz w:val="18"/>
                <w:szCs w:val="18"/>
                <w:color w:val="auto"/>
              </w:rPr>
              <w:t>The Option will become exercisable over four years, with one-fourth vesting on the</w:t>
            </w:r>
          </w:p>
        </w:tc>
      </w:tr>
      <w:tr>
        <w:trPr>
          <w:trHeight w:val="203"/>
        </w:trPr>
        <w:tc>
          <w:tcPr>
            <w:tcW w:w="2700" w:type="dxa"/>
            <w:vAlign w:val="bottom"/>
          </w:tcPr>
          <w:p>
            <w:pPr>
              <w:spacing w:after="0"/>
              <w:rPr>
                <w:sz w:val="17"/>
                <w:szCs w:val="17"/>
                <w:color w:val="auto"/>
              </w:rPr>
            </w:pPr>
          </w:p>
        </w:tc>
        <w:tc>
          <w:tcPr>
            <w:tcW w:w="7840" w:type="dxa"/>
            <w:vAlign w:val="bottom"/>
          </w:tcPr>
          <w:p>
            <w:pPr>
              <w:ind w:left="1160"/>
              <w:spacing w:after="0" w:line="202" w:lineRule="exact"/>
              <w:rPr>
                <w:sz w:val="20"/>
                <w:szCs w:val="20"/>
                <w:color w:val="auto"/>
              </w:rPr>
            </w:pPr>
            <w:r>
              <w:rPr>
                <w:rFonts w:ascii="Arial" w:cs="Arial" w:eastAsia="Arial" w:hAnsi="Arial"/>
                <w:sz w:val="18"/>
                <w:szCs w:val="18"/>
                <w:color w:val="auto"/>
                <w:w w:val="99"/>
              </w:rPr>
              <w:t>one-year anniversary of the Grant Date, and the balance vesting quarterly thereafter</w:t>
            </w:r>
          </w:p>
        </w:tc>
      </w:tr>
      <w:tr>
        <w:trPr>
          <w:trHeight w:val="239"/>
        </w:trPr>
        <w:tc>
          <w:tcPr>
            <w:tcW w:w="2700" w:type="dxa"/>
            <w:vAlign w:val="bottom"/>
          </w:tcPr>
          <w:p>
            <w:pPr>
              <w:spacing w:after="0"/>
              <w:rPr>
                <w:sz w:val="20"/>
                <w:szCs w:val="20"/>
                <w:color w:val="auto"/>
              </w:rPr>
            </w:pPr>
          </w:p>
        </w:tc>
        <w:tc>
          <w:tcPr>
            <w:tcW w:w="7840" w:type="dxa"/>
            <w:vAlign w:val="bottom"/>
          </w:tcPr>
          <w:p>
            <w:pPr>
              <w:ind w:left="1160"/>
              <w:spacing w:after="0"/>
              <w:rPr>
                <w:sz w:val="20"/>
                <w:szCs w:val="20"/>
                <w:color w:val="auto"/>
              </w:rPr>
            </w:pPr>
            <w:r>
              <w:rPr>
                <w:rFonts w:ascii="Arial" w:cs="Arial" w:eastAsia="Arial" w:hAnsi="Arial"/>
                <w:sz w:val="18"/>
                <w:szCs w:val="18"/>
                <w:color w:val="auto"/>
              </w:rPr>
              <w:t>until the fourth anniversary of the Grant Date.</w:t>
            </w:r>
          </w:p>
        </w:tc>
      </w:tr>
      <w:tr>
        <w:trPr>
          <w:trHeight w:val="274"/>
        </w:trPr>
        <w:tc>
          <w:tcPr>
            <w:tcW w:w="2700" w:type="dxa"/>
            <w:vAlign w:val="bottom"/>
          </w:tcPr>
          <w:p>
            <w:pPr>
              <w:spacing w:after="0"/>
              <w:rPr>
                <w:sz w:val="23"/>
                <w:szCs w:val="23"/>
                <w:color w:val="auto"/>
              </w:rPr>
            </w:pPr>
          </w:p>
        </w:tc>
        <w:tc>
          <w:tcPr>
            <w:tcW w:w="7840" w:type="dxa"/>
            <w:vAlign w:val="bottom"/>
          </w:tcPr>
          <w:p>
            <w:pPr>
              <w:ind w:left="1160"/>
              <w:spacing w:after="0"/>
              <w:rPr>
                <w:sz w:val="20"/>
                <w:szCs w:val="20"/>
                <w:color w:val="auto"/>
              </w:rPr>
            </w:pPr>
            <w:r>
              <w:rPr>
                <w:rFonts w:ascii="Arial" w:cs="Arial" w:eastAsia="Arial" w:hAnsi="Arial"/>
                <w:sz w:val="18"/>
                <w:szCs w:val="18"/>
                <w:color w:val="auto"/>
              </w:rPr>
              <w:t>All vesting is dependent on the Participant remaining an Eligible Participant, as</w:t>
            </w:r>
          </w:p>
        </w:tc>
      </w:tr>
      <w:tr>
        <w:trPr>
          <w:trHeight w:val="239"/>
        </w:trPr>
        <w:tc>
          <w:tcPr>
            <w:tcW w:w="2700" w:type="dxa"/>
            <w:vAlign w:val="bottom"/>
          </w:tcPr>
          <w:p>
            <w:pPr>
              <w:spacing w:after="0"/>
              <w:rPr>
                <w:sz w:val="20"/>
                <w:szCs w:val="20"/>
                <w:color w:val="auto"/>
              </w:rPr>
            </w:pPr>
          </w:p>
        </w:tc>
        <w:tc>
          <w:tcPr>
            <w:tcW w:w="7840" w:type="dxa"/>
            <w:vAlign w:val="bottom"/>
          </w:tcPr>
          <w:p>
            <w:pPr>
              <w:ind w:left="1160"/>
              <w:spacing w:after="0"/>
              <w:rPr>
                <w:sz w:val="20"/>
                <w:szCs w:val="20"/>
                <w:color w:val="auto"/>
              </w:rPr>
            </w:pPr>
            <w:r>
              <w:rPr>
                <w:rFonts w:ascii="Arial" w:cs="Arial" w:eastAsia="Arial" w:hAnsi="Arial"/>
                <w:sz w:val="18"/>
                <w:szCs w:val="18"/>
                <w:color w:val="auto"/>
              </w:rPr>
              <w:t>provided herein.</w:t>
            </w:r>
          </w:p>
        </w:tc>
      </w:tr>
    </w:tbl>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 NO EVENT MAY THE OPTION BE EXERCISED AFTER THE FINAL EXERCISE DATE AS PROVIDED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1102360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0" w:name="page151"/>
    <w:bookmarkEnd w:id="150"/>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by its duly authorized officer, and the Participant, hereby execute this Award Agreement.</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PARTICIPANT</w:t>
            </w:r>
          </w:p>
        </w:tc>
        <w:tc>
          <w:tcPr>
            <w:tcW w:w="400" w:type="dxa"/>
            <w:vAlign w:val="bottom"/>
          </w:tcPr>
          <w:p>
            <w:pPr>
              <w:spacing w:after="0"/>
              <w:rPr>
                <w:sz w:val="21"/>
                <w:szCs w:val="21"/>
                <w:color w:val="auto"/>
              </w:rPr>
            </w:pPr>
          </w:p>
        </w:tc>
        <w:tc>
          <w:tcPr>
            <w:tcW w:w="8040" w:type="dxa"/>
            <w:vAlign w:val="bottom"/>
            <w:gridSpan w:val="4"/>
          </w:tcPr>
          <w:p>
            <w:pPr>
              <w:ind w:left="400"/>
              <w:spacing w:after="0"/>
              <w:rPr>
                <w:sz w:val="20"/>
                <w:szCs w:val="20"/>
                <w:color w:val="auto"/>
              </w:rPr>
            </w:pPr>
            <w:r>
              <w:rPr>
                <w:rFonts w:ascii="Arial" w:cs="Arial" w:eastAsia="Arial" w:hAnsi="Arial"/>
                <w:sz w:val="18"/>
                <w:szCs w:val="18"/>
                <w:b w:val="1"/>
                <w:bCs w:val="1"/>
                <w:color w:val="auto"/>
              </w:rPr>
              <w:t>CUE BIOPHARMA, INC.</w:t>
            </w:r>
          </w:p>
        </w:tc>
      </w:tr>
      <w:tr>
        <w:trPr>
          <w:trHeight w:val="582"/>
        </w:trPr>
        <w:tc>
          <w:tcPr>
            <w:tcW w:w="2800" w:type="dxa"/>
            <w:vAlign w:val="bottom"/>
            <w:gridSpan w:val="2"/>
          </w:tcPr>
          <w:p>
            <w:pPr>
              <w:spacing w:after="0"/>
              <w:rPr>
                <w:sz w:val="20"/>
                <w:szCs w:val="20"/>
                <w:color w:val="auto"/>
              </w:rPr>
            </w:pPr>
            <w:r>
              <w:rPr>
                <w:rFonts w:ascii="Arial" w:cs="Arial" w:eastAsia="Arial" w:hAnsi="Arial"/>
                <w:sz w:val="18"/>
                <w:szCs w:val="18"/>
                <w:color w:val="auto"/>
              </w:rPr>
              <w:t>Sign Name:</w:t>
            </w:r>
          </w:p>
        </w:tc>
        <w:tc>
          <w:tcPr>
            <w:tcW w:w="400" w:type="dxa"/>
            <w:vAlign w:val="bottom"/>
          </w:tcPr>
          <w:p>
            <w:pPr>
              <w:spacing w:after="0"/>
              <w:rPr>
                <w:sz w:val="24"/>
                <w:szCs w:val="24"/>
                <w:color w:val="auto"/>
              </w:rPr>
            </w:pPr>
          </w:p>
        </w:tc>
        <w:tc>
          <w:tcPr>
            <w:tcW w:w="8040" w:type="dxa"/>
            <w:vAlign w:val="bottom"/>
            <w:gridSpan w:val="4"/>
          </w:tcPr>
          <w:p>
            <w:pPr>
              <w:spacing w:after="0"/>
              <w:rPr>
                <w:sz w:val="20"/>
                <w:szCs w:val="20"/>
                <w:color w:val="auto"/>
              </w:rPr>
            </w:pPr>
            <w:r>
              <w:rPr>
                <w:rFonts w:ascii="Arial" w:cs="Arial" w:eastAsia="Arial" w:hAnsi="Arial"/>
                <w:sz w:val="18"/>
                <w:szCs w:val="18"/>
                <w:color w:val="auto"/>
              </w:rPr>
              <w:t>Sign Name:</w:t>
            </w:r>
          </w:p>
        </w:tc>
      </w:tr>
      <w:tr>
        <w:trPr>
          <w:trHeight w:val="20"/>
        </w:trPr>
        <w:tc>
          <w:tcPr>
            <w:tcW w:w="960" w:type="dxa"/>
            <w:vAlign w:val="bottom"/>
            <w:tcBorders>
              <w:right w:val="single" w:sz="8" w:color="auto"/>
            </w:tcBorders>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614"/>
        </w:trPr>
        <w:tc>
          <w:tcPr>
            <w:tcW w:w="960" w:type="dxa"/>
            <w:vAlign w:val="bottom"/>
          </w:tcPr>
          <w:p>
            <w:pPr>
              <w:spacing w:after="0"/>
              <w:rPr>
                <w:sz w:val="20"/>
                <w:szCs w:val="20"/>
                <w:color w:val="auto"/>
              </w:rPr>
            </w:pPr>
            <w:r>
              <w:rPr>
                <w:rFonts w:ascii="Arial" w:cs="Arial" w:eastAsia="Arial" w:hAnsi="Arial"/>
                <w:sz w:val="18"/>
                <w:szCs w:val="18"/>
                <w:color w:val="auto"/>
                <w:w w:val="96"/>
              </w:rPr>
              <w:t>Print Name:</w:t>
            </w:r>
          </w:p>
        </w:tc>
        <w:tc>
          <w:tcPr>
            <w:tcW w:w="18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96"/>
              </w:rPr>
              <w:t>Print Name:</w:t>
            </w:r>
          </w:p>
        </w:tc>
        <w:tc>
          <w:tcPr>
            <w:tcW w:w="1840" w:type="dxa"/>
            <w:vAlign w:val="bottom"/>
            <w:tcBorders>
              <w:bottom w:val="single" w:sz="8" w:color="auto"/>
            </w:tcBorders>
            <w:gridSpan w:val="2"/>
          </w:tcPr>
          <w:p>
            <w:pPr>
              <w:spacing w:after="0"/>
              <w:rPr>
                <w:sz w:val="24"/>
                <w:szCs w:val="24"/>
                <w:color w:val="auto"/>
              </w:rPr>
            </w:pPr>
          </w:p>
        </w:tc>
        <w:tc>
          <w:tcPr>
            <w:tcW w:w="5240" w:type="dxa"/>
            <w:vAlign w:val="bottom"/>
          </w:tcPr>
          <w:p>
            <w:pPr>
              <w:spacing w:after="0"/>
              <w:rPr>
                <w:sz w:val="24"/>
                <w:szCs w:val="24"/>
                <w:color w:val="auto"/>
              </w:rPr>
            </w:pPr>
          </w:p>
        </w:tc>
      </w:tr>
      <w:tr>
        <w:trPr>
          <w:trHeight w:val="614"/>
        </w:trPr>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440" w:type="dxa"/>
            <w:vAlign w:val="bottom"/>
            <w:gridSpan w:val="5"/>
          </w:tcPr>
          <w:p>
            <w:pPr>
              <w:spacing w:after="0"/>
              <w:rPr>
                <w:sz w:val="20"/>
                <w:szCs w:val="20"/>
                <w:color w:val="auto"/>
              </w:rPr>
            </w:pPr>
            <w:r>
              <w:rPr>
                <w:rFonts w:ascii="Arial" w:cs="Arial" w:eastAsia="Arial" w:hAnsi="Arial"/>
                <w:sz w:val="18"/>
                <w:szCs w:val="18"/>
                <w:color w:val="auto"/>
              </w:rPr>
              <w:t>Title:</w:t>
            </w:r>
          </w:p>
        </w:tc>
      </w:tr>
      <w:tr>
        <w:trPr>
          <w:trHeight w:val="2282"/>
        </w:trPr>
        <w:tc>
          <w:tcPr>
            <w:tcW w:w="9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jc w:val="center"/>
        <w:ind w:right="380"/>
        <w:spacing w:after="0"/>
        <w:rPr>
          <w:sz w:val="20"/>
          <w:szCs w:val="20"/>
          <w:color w:val="auto"/>
        </w:rPr>
      </w:pPr>
      <w:r>
        <w:rPr>
          <w:rFonts w:ascii="Arial" w:cs="Arial" w:eastAsia="Arial" w:hAnsi="Arial"/>
          <w:sz w:val="18"/>
          <w:szCs w:val="18"/>
          <w:b w:val="1"/>
          <w:bCs w:val="1"/>
          <w:color w:val="auto"/>
        </w:rPr>
        <w:t>STOCK OPTION AGREEMENT</w:t>
      </w:r>
    </w:p>
    <w:p>
      <w:pPr>
        <w:spacing w:after="0" w:line="212"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INCORPORATED TERMS AND CONDITIONS</w:t>
      </w:r>
    </w:p>
    <w:p>
      <w:pPr>
        <w:spacing w:after="0" w:line="204" w:lineRule="exact"/>
        <w:rPr>
          <w:sz w:val="20"/>
          <w:szCs w:val="20"/>
          <w:color w:val="auto"/>
        </w:rPr>
      </w:pPr>
    </w:p>
    <w:p>
      <w:pPr>
        <w:ind w:left="380" w:hanging="378"/>
        <w:spacing w:after="0"/>
        <w:tabs>
          <w:tab w:leader="none" w:pos="38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Grant of Option.</w:t>
      </w:r>
    </w:p>
    <w:p>
      <w:pPr>
        <w:spacing w:after="0" w:line="206" w:lineRule="exact"/>
        <w:rPr>
          <w:sz w:val="20"/>
          <w:szCs w:val="20"/>
          <w:color w:val="auto"/>
        </w:rPr>
      </w:pPr>
    </w:p>
    <w:p>
      <w:pPr>
        <w:ind w:left="380" w:right="60" w:firstLine="749"/>
        <w:spacing w:after="0" w:line="236" w:lineRule="auto"/>
        <w:rPr>
          <w:sz w:val="20"/>
          <w:szCs w:val="20"/>
          <w:color w:val="auto"/>
        </w:rPr>
      </w:pPr>
      <w:r>
        <w:rPr>
          <w:rFonts w:ascii="Arial" w:cs="Arial" w:eastAsia="Arial" w:hAnsi="Arial"/>
          <w:sz w:val="22"/>
          <w:szCs w:val="22"/>
          <w:color w:val="auto"/>
        </w:rPr>
        <w:t>This agreement evidences the grant by the Company, on the grant date (the “Grant Date”) set forth in the Notice of Grant that forms part of this agreement (the “Notice of Grant”), to the Participant of an option to purchase, in whole or in part, on the terms provided herein and in the Company’s 2025 Stock Incentive Plan (the “Plan”), the number of Shares set forth in the Notice of Grant of common stock, $0.001 par value per share, of the Company (“Common Stock”), at the exercise price per Share set forth in the Notice of Grant. Unless earlier terminated, this option shall expire at 5:00 p.m., Eastern time, on the Final Exercise Date set forth in the Notice of Grant (the “Final Exercise Date”).</w:t>
      </w:r>
    </w:p>
    <w:p>
      <w:pPr>
        <w:spacing w:after="0" w:line="176" w:lineRule="exact"/>
        <w:rPr>
          <w:sz w:val="20"/>
          <w:szCs w:val="20"/>
          <w:color w:val="auto"/>
        </w:rPr>
      </w:pPr>
    </w:p>
    <w:p>
      <w:pPr>
        <w:ind w:left="380" w:firstLine="749"/>
        <w:spacing w:after="0" w:line="236" w:lineRule="auto"/>
        <w:rPr>
          <w:sz w:val="20"/>
          <w:szCs w:val="20"/>
          <w:color w:val="auto"/>
        </w:rPr>
      </w:pPr>
      <w:r>
        <w:rPr>
          <w:rFonts w:ascii="Arial" w:cs="Arial" w:eastAsia="Arial" w:hAnsi="Arial"/>
          <w:sz w:val="22"/>
          <w:szCs w:val="22"/>
          <w:color w:val="auto"/>
        </w:rPr>
        <w:t>The option evidenced by this agreement is intended to be an incentive stock option as defined in Section 422 of the Internal Revenue Code of 1986, as amended, and any regulations promulgated thereunder (the “Code”) to the maximum extent permitted by law, solely to the extent designated as an incentive stock option in the Notice of Grant. Except as otherwise indicated by the context, the term “Participant”, as used in this option, shall be deemed to include any person who acquires the right to exercise this option validly under its terms.</w:t>
      </w:r>
    </w:p>
    <w:p>
      <w:pPr>
        <w:spacing w:after="0" w:line="182" w:lineRule="exact"/>
        <w:rPr>
          <w:sz w:val="20"/>
          <w:szCs w:val="20"/>
          <w:color w:val="auto"/>
        </w:rPr>
      </w:pPr>
    </w:p>
    <w:p>
      <w:pPr>
        <w:ind w:left="380" w:hanging="378"/>
        <w:spacing w:after="0"/>
        <w:tabs>
          <w:tab w:leader="none" w:pos="38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Vesting Schedule.</w:t>
      </w:r>
    </w:p>
    <w:p>
      <w:pPr>
        <w:spacing w:after="0" w:line="206" w:lineRule="exact"/>
        <w:rPr>
          <w:sz w:val="20"/>
          <w:szCs w:val="20"/>
          <w:color w:val="auto"/>
        </w:rPr>
      </w:pPr>
    </w:p>
    <w:p>
      <w:pPr>
        <w:ind w:left="380" w:right="280" w:firstLine="749"/>
        <w:spacing w:after="0" w:line="259" w:lineRule="auto"/>
        <w:rPr>
          <w:sz w:val="20"/>
          <w:szCs w:val="20"/>
          <w:color w:val="auto"/>
        </w:rPr>
      </w:pPr>
      <w:r>
        <w:rPr>
          <w:rFonts w:ascii="Arial" w:cs="Arial" w:eastAsia="Arial" w:hAnsi="Arial"/>
          <w:sz w:val="22"/>
          <w:szCs w:val="22"/>
          <w:color w:val="auto"/>
        </w:rPr>
        <w:t>This option will become exercisable (“vest”) in accordance with the vesting schedule set forth in the Notice of Grant.</w:t>
      </w:r>
    </w:p>
    <w:p>
      <w:pPr>
        <w:spacing w:after="0" w:line="156" w:lineRule="exact"/>
        <w:rPr>
          <w:sz w:val="20"/>
          <w:szCs w:val="20"/>
          <w:color w:val="auto"/>
        </w:rPr>
      </w:pPr>
    </w:p>
    <w:p>
      <w:pPr>
        <w:ind w:left="380" w:right="60" w:firstLine="749"/>
        <w:spacing w:after="0"/>
        <w:rPr>
          <w:sz w:val="20"/>
          <w:szCs w:val="20"/>
          <w:color w:val="auto"/>
        </w:rPr>
      </w:pPr>
      <w:r>
        <w:rPr>
          <w:rFonts w:ascii="Arial" w:cs="Arial" w:eastAsia="Arial" w:hAnsi="Arial"/>
          <w:sz w:val="22"/>
          <w:szCs w:val="22"/>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76" w:lineRule="exact"/>
        <w:rPr>
          <w:sz w:val="20"/>
          <w:szCs w:val="20"/>
          <w:color w:val="auto"/>
        </w:rPr>
      </w:pPr>
    </w:p>
    <w:p>
      <w:pPr>
        <w:ind w:left="380" w:hanging="378"/>
        <w:spacing w:after="0"/>
        <w:tabs>
          <w:tab w:leader="none" w:pos="38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p>
    <w:p>
      <w:pPr>
        <w:spacing w:after="0" w:line="206" w:lineRule="exact"/>
        <w:rPr>
          <w:rFonts w:ascii="Arial" w:cs="Arial" w:eastAsia="Arial" w:hAnsi="Arial"/>
          <w:sz w:val="22"/>
          <w:szCs w:val="22"/>
          <w:color w:val="auto"/>
        </w:rPr>
      </w:pPr>
    </w:p>
    <w:p>
      <w:pPr>
        <w:ind w:left="380" w:right="20" w:firstLine="371"/>
        <w:spacing w:after="0" w:line="238" w:lineRule="auto"/>
        <w:tabs>
          <w:tab w:leader="none" w:pos="1158"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Form of Exercise.</w:t>
      </w:r>
      <w:r>
        <w:rPr>
          <w:rFonts w:ascii="Arial" w:cs="Arial" w:eastAsia="Arial" w:hAnsi="Arial"/>
          <w:sz w:val="22"/>
          <w:szCs w:val="22"/>
          <w:color w:val="auto"/>
        </w:rPr>
        <w:t xml:space="preserve"> Each election to exercise this option shall be in such form (which may be electronic, and which may be provided to a third-party equity plan administrator) as is approved by the Company, together with payment in full in the manner provided in the Plan. The Participant may purchase less than the number of shares covered hereby, provided that no partial exercise of this option may be for any fractional share.</w:t>
      </w:r>
    </w:p>
    <w:p>
      <w:pPr>
        <w:spacing w:after="0" w:line="176" w:lineRule="exact"/>
        <w:rPr>
          <w:rFonts w:ascii="Arial" w:cs="Arial" w:eastAsia="Arial" w:hAnsi="Arial"/>
          <w:sz w:val="22"/>
          <w:szCs w:val="22"/>
          <w:color w:val="auto"/>
        </w:rPr>
      </w:pPr>
    </w:p>
    <w:p>
      <w:pPr>
        <w:jc w:val="both"/>
        <w:ind w:left="380" w:right="100" w:firstLine="371"/>
        <w:spacing w:after="0"/>
        <w:tabs>
          <w:tab w:leader="none" w:pos="1158"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Continuous Relationship with the Company Required.</w:t>
      </w:r>
      <w:r>
        <w:rPr>
          <w:rFonts w:ascii="Arial" w:cs="Arial" w:eastAsia="Arial" w:hAnsi="Arial"/>
          <w:sz w:val="22"/>
          <w:szCs w:val="22"/>
          <w:color w:val="auto"/>
        </w:rPr>
        <w:t xml:space="preserve"> Except as otherwise provided in this Section 3, this option may not be exercised unless the Participant, at the time he or she exercises this option, is, and has been at all times since the Grant Date, an employee, director or officer of, or consultant or advisor to, the Company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1007745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7" w:right="339" w:bottom="1440" w:gutter="0" w:footer="0" w:header="0"/>
        </w:sectPr>
      </w:pPr>
    </w:p>
    <w:bookmarkStart w:id="152" w:name="page153"/>
    <w:bookmarkEnd w:id="152"/>
    <w:p>
      <w:pPr>
        <w:ind w:left="378" w:right="200"/>
        <w:spacing w:after="0" w:line="259" w:lineRule="auto"/>
        <w:rPr>
          <w:sz w:val="20"/>
          <w:szCs w:val="20"/>
          <w:color w:val="auto"/>
        </w:rPr>
      </w:pPr>
      <w:r>
        <w:rPr>
          <w:rFonts w:ascii="Arial" w:cs="Arial" w:eastAsia="Arial" w:hAnsi="Arial"/>
          <w:sz w:val="22"/>
          <w:szCs w:val="22"/>
          <w:color w:val="auto"/>
        </w:rPr>
        <w:t>other entity the employees, officers, directors, consultants, or advisors of which are eligible to receive option grants under the Plan (an “Eligible Participant”).</w:t>
      </w:r>
    </w:p>
    <w:p>
      <w:pPr>
        <w:spacing w:after="0" w:line="156" w:lineRule="exact"/>
        <w:rPr>
          <w:sz w:val="20"/>
          <w:szCs w:val="20"/>
          <w:color w:val="auto"/>
        </w:rPr>
      </w:pPr>
    </w:p>
    <w:p>
      <w:pPr>
        <w:ind w:left="378" w:firstLine="371"/>
        <w:spacing w:after="0" w:line="246" w:lineRule="auto"/>
        <w:tabs>
          <w:tab w:leader="none" w:pos="1156" w:val="left"/>
        </w:tabs>
        <w:numPr>
          <w:ilvl w:val="2"/>
          <w:numId w:val="68"/>
        </w:numPr>
        <w:rPr>
          <w:rFonts w:ascii="Arial" w:cs="Arial" w:eastAsia="Arial" w:hAnsi="Arial"/>
          <w:sz w:val="21"/>
          <w:szCs w:val="21"/>
          <w:color w:val="auto"/>
        </w:rPr>
      </w:pPr>
      <w:r>
        <w:rPr>
          <w:rFonts w:ascii="Arial" w:cs="Arial" w:eastAsia="Arial" w:hAnsi="Arial"/>
          <w:sz w:val="21"/>
          <w:szCs w:val="21"/>
          <w:u w:val="single" w:color="auto"/>
          <w:color w:val="auto"/>
        </w:rPr>
        <w:t>Termination of Relationship with the Company.</w:t>
      </w:r>
      <w:r>
        <w:rPr>
          <w:rFonts w:ascii="Arial" w:cs="Arial" w:eastAsia="Arial" w:hAnsi="Arial"/>
          <w:sz w:val="21"/>
          <w:szCs w:val="21"/>
          <w:color w:val="auto"/>
        </w:rPr>
        <w:t xml:space="preserve"> If the Participant ceases to be an Eligible Participant for any reason, then, except as provided in paragraphs (d) and (e) below, the right to exercise this option shall terminate 12 months after such cessation (but in no event after the Final Exercise Date), provided that this option shall be exercisable only to the extent that the Participant was entitled to exercise this option on the date of such cessation. Notwithstanding the foregoing, if the Participant, prior to the Final Exercise Date, violates the restrictive covenants (including, without limitation, the non-competition, non-solicitation, or confidentiality provisions) of any employment contract, any non-competition, non-solicitation, confidentiality or assignment agreement to which the Participant is a party, or any other agreement between the Participant and the Company, the right to exercise this option shall terminate immediately upon such violation.</w:t>
      </w:r>
    </w:p>
    <w:p>
      <w:pPr>
        <w:spacing w:after="0" w:line="175" w:lineRule="exact"/>
        <w:rPr>
          <w:rFonts w:ascii="Arial" w:cs="Arial" w:eastAsia="Arial" w:hAnsi="Arial"/>
          <w:sz w:val="21"/>
          <w:szCs w:val="21"/>
          <w:color w:val="auto"/>
        </w:rPr>
      </w:pPr>
    </w:p>
    <w:p>
      <w:pPr>
        <w:ind w:left="378" w:right="60" w:firstLine="371"/>
        <w:spacing w:after="0" w:line="235" w:lineRule="auto"/>
        <w:tabs>
          <w:tab w:leader="none" w:pos="1156" w:val="left"/>
        </w:tabs>
        <w:numPr>
          <w:ilvl w:val="2"/>
          <w:numId w:val="68"/>
        </w:numPr>
        <w:rPr>
          <w:rFonts w:ascii="Arial" w:cs="Arial" w:eastAsia="Arial" w:hAnsi="Arial"/>
          <w:sz w:val="22"/>
          <w:szCs w:val="22"/>
          <w:color w:val="auto"/>
        </w:rPr>
      </w:pPr>
      <w:r>
        <w:rPr>
          <w:rFonts w:ascii="Arial" w:cs="Arial" w:eastAsia="Arial" w:hAnsi="Arial"/>
          <w:sz w:val="22"/>
          <w:szCs w:val="22"/>
          <w:u w:val="single" w:color="auto"/>
          <w:color w:val="auto"/>
        </w:rPr>
        <w:t>Exercise Period Upon Death or Disability.</w:t>
      </w:r>
      <w:r>
        <w:rPr>
          <w:rFonts w:ascii="Arial" w:cs="Arial" w:eastAsia="Arial" w:hAnsi="Arial"/>
          <w:sz w:val="22"/>
          <w:szCs w:val="22"/>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provided that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78" w:lineRule="exact"/>
        <w:rPr>
          <w:rFonts w:ascii="Arial" w:cs="Arial" w:eastAsia="Arial" w:hAnsi="Arial"/>
          <w:sz w:val="22"/>
          <w:szCs w:val="22"/>
          <w:color w:val="auto"/>
        </w:rPr>
      </w:pPr>
    </w:p>
    <w:p>
      <w:pPr>
        <w:ind w:left="378" w:right="20" w:firstLine="371"/>
        <w:spacing w:after="0" w:line="243" w:lineRule="auto"/>
        <w:tabs>
          <w:tab w:leader="none" w:pos="1156" w:val="left"/>
        </w:tabs>
        <w:numPr>
          <w:ilvl w:val="2"/>
          <w:numId w:val="68"/>
        </w:numPr>
        <w:rPr>
          <w:rFonts w:ascii="Arial" w:cs="Arial" w:eastAsia="Arial" w:hAnsi="Arial"/>
          <w:sz w:val="21"/>
          <w:szCs w:val="21"/>
          <w:color w:val="auto"/>
        </w:rPr>
      </w:pPr>
      <w:r>
        <w:rPr>
          <w:rFonts w:ascii="Arial" w:cs="Arial" w:eastAsia="Arial" w:hAnsi="Arial"/>
          <w:sz w:val="21"/>
          <w:szCs w:val="21"/>
          <w:u w:val="single" w:color="auto"/>
          <w:color w:val="auto"/>
        </w:rPr>
        <w:t>Termination for Cause.</w:t>
      </w:r>
      <w:r>
        <w:rPr>
          <w:rFonts w:ascii="Arial" w:cs="Arial" w:eastAsia="Arial" w:hAnsi="Arial"/>
          <w:sz w:val="21"/>
          <w:szCs w:val="21"/>
          <w:color w:val="auto"/>
        </w:rPr>
        <w:t xml:space="preserve"> If, prior to the Final Exercise Date, the Participant’s employment or other service is terminated by the Company for Cause (as defined in the Plan), the right to exercise this option shall terminate immediately upon the effective date of such termination of employment or other service. If, prior to the Final Exercise Date, the Participant is given notice by the Company of the termination of his or her employment or other service by the Company for Cause, and the effective date of such termination is subsequent to the date of delivery of such notice, the right to exercise this option shall be suspended from the time of the delivery of such notice until the earlier of (i) such time as it is determined or otherwise agreed that the Participant’s employment or other service shall not be terminated for Cause as provided in such notice or</w:t>
      </w:r>
    </w:p>
    <w:p>
      <w:pPr>
        <w:spacing w:after="0" w:line="7" w:lineRule="exact"/>
        <w:rPr>
          <w:rFonts w:ascii="Arial" w:cs="Arial" w:eastAsia="Arial" w:hAnsi="Arial"/>
          <w:sz w:val="21"/>
          <w:szCs w:val="21"/>
          <w:color w:val="auto"/>
        </w:rPr>
      </w:pPr>
    </w:p>
    <w:p>
      <w:pPr>
        <w:ind w:left="378" w:right="100" w:hanging="3"/>
        <w:spacing w:after="0" w:line="234" w:lineRule="auto"/>
        <w:tabs>
          <w:tab w:leader="none" w:pos="678"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effective date of such termination of employment or other service (in which case the right to exercise this option shall, pursuant to the preceding sentence, terminate upon the effective date of such termination of employment or other service). The Participant’s employment or other service shall be considered to have been terminated for Cause if the Company determines, within 30 days after the Participant’s resignation, that termination for Cause was warranted.</w:t>
      </w:r>
    </w:p>
    <w:p>
      <w:pPr>
        <w:spacing w:after="0" w:line="177" w:lineRule="exact"/>
        <w:rPr>
          <w:rFonts w:ascii="Arial" w:cs="Arial" w:eastAsia="Arial" w:hAnsi="Arial"/>
          <w:sz w:val="22"/>
          <w:szCs w:val="22"/>
          <w:color w:val="auto"/>
        </w:rPr>
      </w:pPr>
    </w:p>
    <w:p>
      <w:pPr>
        <w:ind w:left="378" w:hanging="378"/>
        <w:spacing w:after="0"/>
        <w:tabs>
          <w:tab w:leader="none" w:pos="378"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Tax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135255</wp:posOffset>
            </wp:positionV>
            <wp:extent cx="1688465" cy="508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7">
                      <a:extLst>
                        <a:ext uri="{28A0092B-C50C-407E-A947-70E740481C1C}"/>
                      </a:extLst>
                    </a:blip>
                    <a:srcRect/>
                    <a:stretch>
                      <a:fillRect/>
                    </a:stretch>
                  </pic:blipFill>
                  <pic:spPr bwMode="auto">
                    <a:xfrm>
                      <a:off x="0" y="0"/>
                      <a:ext cx="1688465" cy="50800"/>
                    </a:xfrm>
                    <a:prstGeom prst="rect">
                      <a:avLst/>
                    </a:prstGeom>
                    <a:noFill/>
                  </pic:spPr>
                </pic:pic>
              </a:graphicData>
            </a:graphic>
          </wp:anchor>
        </w:drawing>
        <w:drawing>
          <wp:anchor simplePos="0" relativeHeight="251657728" behindDoc="1" locked="0" layoutInCell="0" allowOverlap="1">
            <wp:simplePos x="0" y="0"/>
            <wp:positionH relativeFrom="column">
              <wp:posOffset>-249555</wp:posOffset>
            </wp:positionH>
            <wp:positionV relativeFrom="paragraph">
              <wp:posOffset>1257935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09" w:right="339" w:bottom="1440" w:gutter="0" w:footer="0" w:header="0"/>
        </w:sectPr>
      </w:pPr>
    </w:p>
    <w:bookmarkStart w:id="153" w:name="page154"/>
    <w:bookmarkEnd w:id="153"/>
    <w:p>
      <w:pPr>
        <w:ind w:left="378" w:firstLine="371"/>
        <w:spacing w:after="0" w:line="245" w:lineRule="auto"/>
        <w:tabs>
          <w:tab w:leader="none" w:pos="1156"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xml:space="preserve">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spacing w:after="0" w:line="170" w:lineRule="exact"/>
        <w:rPr>
          <w:rFonts w:ascii="Arial" w:cs="Arial" w:eastAsia="Arial" w:hAnsi="Arial"/>
          <w:sz w:val="22"/>
          <w:szCs w:val="22"/>
          <w:color w:val="auto"/>
        </w:rPr>
      </w:pPr>
    </w:p>
    <w:p>
      <w:pPr>
        <w:ind w:left="378" w:right="20" w:firstLine="371"/>
        <w:spacing w:after="0"/>
        <w:tabs>
          <w:tab w:leader="none" w:pos="1156"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Disqualifying Disposition.</w:t>
      </w:r>
      <w:r>
        <w:rPr>
          <w:rFonts w:ascii="Arial" w:cs="Arial" w:eastAsia="Arial" w:hAnsi="Arial"/>
          <w:sz w:val="22"/>
          <w:szCs w:val="22"/>
          <w:color w:val="auto"/>
        </w:rPr>
        <w:t xml:space="preserve"> If this option is an incentive stock option and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76" w:lineRule="exact"/>
        <w:rPr>
          <w:rFonts w:ascii="Arial" w:cs="Arial" w:eastAsia="Arial" w:hAnsi="Arial"/>
          <w:sz w:val="22"/>
          <w:szCs w:val="22"/>
          <w:color w:val="auto"/>
        </w:rPr>
      </w:pPr>
    </w:p>
    <w:p>
      <w:pPr>
        <w:ind w:left="378" w:hanging="378"/>
        <w:spacing w:after="0"/>
        <w:tabs>
          <w:tab w:leader="none" w:pos="378"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Transfer Restrictions; Clawback.</w:t>
      </w:r>
    </w:p>
    <w:p>
      <w:pPr>
        <w:spacing w:after="0" w:line="206" w:lineRule="exact"/>
        <w:rPr>
          <w:rFonts w:ascii="Arial" w:cs="Arial" w:eastAsia="Arial" w:hAnsi="Arial"/>
          <w:sz w:val="22"/>
          <w:szCs w:val="22"/>
          <w:color w:val="auto"/>
        </w:rPr>
      </w:pPr>
    </w:p>
    <w:p>
      <w:pPr>
        <w:ind w:left="1118" w:right="40" w:hanging="369"/>
        <w:spacing w:after="0"/>
        <w:tabs>
          <w:tab w:leader="none" w:pos="1118"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This option may not be sold, assigned, transferred, pledged, encumbered or otherwise disposed of by the Participant, either voluntarily or by operation of law, except by will or the laws of descent and distribution, and, during the lifetime of the Participant, this option shall be exercisable only by the Participant.</w:t>
      </w:r>
    </w:p>
    <w:p>
      <w:pPr>
        <w:spacing w:after="0" w:line="176" w:lineRule="exact"/>
        <w:rPr>
          <w:rFonts w:ascii="Arial" w:cs="Arial" w:eastAsia="Arial" w:hAnsi="Arial"/>
          <w:sz w:val="22"/>
          <w:szCs w:val="22"/>
          <w:color w:val="auto"/>
        </w:rPr>
      </w:pPr>
    </w:p>
    <w:p>
      <w:pPr>
        <w:ind w:left="1118" w:right="80" w:hanging="369"/>
        <w:spacing w:after="0" w:line="245" w:lineRule="auto"/>
        <w:tabs>
          <w:tab w:leader="none" w:pos="1118" w:val="left"/>
        </w:tabs>
        <w:numPr>
          <w:ilvl w:val="1"/>
          <w:numId w:val="72"/>
        </w:numPr>
        <w:rPr>
          <w:rFonts w:ascii="Arial" w:cs="Arial" w:eastAsia="Arial" w:hAnsi="Arial"/>
          <w:sz w:val="22"/>
          <w:szCs w:val="22"/>
          <w:color w:val="auto"/>
        </w:rPr>
      </w:pPr>
      <w:r>
        <w:rPr>
          <w:rFonts w:ascii="Arial" w:cs="Arial" w:eastAsia="Arial" w:hAnsi="Arial"/>
          <w:sz w:val="22"/>
          <w:szCs w:val="22"/>
          <w:color w:val="auto"/>
        </w:rPr>
        <w:t>In accepting this option, the Participant agrees to be bound by any clawback policy that the Company has in place or may adopt in the future, including, without limitation, Cue Biopharma, Inc.’s Dodd-Frank Compensation Recovery Policy.</w:t>
      </w:r>
    </w:p>
    <w:p>
      <w:pPr>
        <w:spacing w:after="0" w:line="170" w:lineRule="exact"/>
        <w:rPr>
          <w:rFonts w:ascii="Arial" w:cs="Arial" w:eastAsia="Arial" w:hAnsi="Arial"/>
          <w:sz w:val="22"/>
          <w:szCs w:val="22"/>
          <w:color w:val="auto"/>
        </w:rPr>
      </w:pPr>
    </w:p>
    <w:p>
      <w:pPr>
        <w:ind w:left="378" w:hanging="378"/>
        <w:spacing w:after="0"/>
        <w:tabs>
          <w:tab w:leader="none" w:pos="378"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Provisions of the Plan.</w:t>
      </w:r>
    </w:p>
    <w:p>
      <w:pPr>
        <w:spacing w:after="0" w:line="206" w:lineRule="exact"/>
        <w:rPr>
          <w:rFonts w:ascii="Arial" w:cs="Arial" w:eastAsia="Arial" w:hAnsi="Arial"/>
          <w:sz w:val="22"/>
          <w:szCs w:val="22"/>
          <w:color w:val="auto"/>
        </w:rPr>
      </w:pPr>
    </w:p>
    <w:p>
      <w:pPr>
        <w:ind w:left="378" w:right="440"/>
        <w:spacing w:after="0" w:line="259" w:lineRule="auto"/>
        <w:rPr>
          <w:rFonts w:ascii="Arial" w:cs="Arial" w:eastAsia="Arial" w:hAnsi="Arial"/>
          <w:sz w:val="22"/>
          <w:szCs w:val="22"/>
          <w:color w:val="auto"/>
        </w:rPr>
      </w:pPr>
      <w:r>
        <w:rPr>
          <w:rFonts w:ascii="Arial" w:cs="Arial" w:eastAsia="Arial" w:hAnsi="Arial"/>
          <w:sz w:val="22"/>
          <w:szCs w:val="22"/>
          <w:color w:val="auto"/>
        </w:rPr>
        <w:t>This option is subject to the provisions of the Plan (including the provisions relating to amendments to the Plan), a copy of which is furnished to the Participant with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994410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09"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10.15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GRANT OF NON-QUALIFIED STOCK OPTION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CUE BIOPHARMA,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2025 STOCK INCENTIVE PLAN</w:t>
      </w:r>
    </w:p>
    <w:p>
      <w:pPr>
        <w:spacing w:after="0" w:line="194" w:lineRule="exact"/>
        <w:rPr>
          <w:sz w:val="20"/>
          <w:szCs w:val="20"/>
          <w:color w:val="auto"/>
        </w:rPr>
      </w:pPr>
    </w:p>
    <w:p>
      <w:pPr>
        <w:ind w:right="80" w:firstLine="749"/>
        <w:spacing w:after="0" w:line="250" w:lineRule="auto"/>
        <w:rPr>
          <w:sz w:val="20"/>
          <w:szCs w:val="20"/>
          <w:color w:val="auto"/>
        </w:rPr>
      </w:pPr>
      <w:r>
        <w:rPr>
          <w:rFonts w:ascii="Arial" w:cs="Arial" w:eastAsia="Arial" w:hAnsi="Arial"/>
          <w:sz w:val="18"/>
          <w:szCs w:val="18"/>
          <w:color w:val="auto"/>
        </w:rPr>
        <w:t>FOR GOOD AND VALUABLE CONSIDERATION, Cue Biopharma, Inc. (the “</w:t>
      </w:r>
      <w:r>
        <w:rPr>
          <w:rFonts w:ascii="Arial" w:cs="Arial" w:eastAsia="Arial" w:hAnsi="Arial"/>
          <w:sz w:val="18"/>
          <w:szCs w:val="18"/>
          <w:b w:val="1"/>
          <w:bCs w:val="1"/>
          <w:color w:val="auto"/>
        </w:rPr>
        <w:t>Company</w:t>
      </w:r>
      <w:r>
        <w:rPr>
          <w:rFonts w:ascii="Arial" w:cs="Arial" w:eastAsia="Arial" w:hAnsi="Arial"/>
          <w:sz w:val="18"/>
          <w:szCs w:val="18"/>
          <w:color w:val="auto"/>
        </w:rPr>
        <w:t>”) hereby grants, pursuant to the provisions of the Cue Biopharma, Inc. 2025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to the Participant designated below, an Non-Qualified Stock Option to purchase the number of Shares specified below (the “</w:t>
      </w:r>
      <w:r>
        <w:rPr>
          <w:rFonts w:ascii="Arial" w:cs="Arial" w:eastAsia="Arial" w:hAnsi="Arial"/>
          <w:sz w:val="18"/>
          <w:szCs w:val="18"/>
          <w:b w:val="1"/>
          <w:bCs w:val="1"/>
          <w:color w:val="auto"/>
        </w:rPr>
        <w:t>Option</w:t>
      </w:r>
      <w:r>
        <w:rPr>
          <w:rFonts w:ascii="Arial" w:cs="Arial" w:eastAsia="Arial" w:hAnsi="Arial"/>
          <w:sz w:val="18"/>
          <w:szCs w:val="18"/>
          <w:color w:val="auto"/>
        </w:rPr>
        <w:t>”). The Option shall be subject to this Notice of Grant (the “</w:t>
      </w:r>
      <w:r>
        <w:rPr>
          <w:rFonts w:ascii="Arial" w:cs="Arial" w:eastAsia="Arial" w:hAnsi="Arial"/>
          <w:sz w:val="18"/>
          <w:szCs w:val="18"/>
          <w:b w:val="1"/>
          <w:bCs w:val="1"/>
          <w:color w:val="auto"/>
        </w:rPr>
        <w:t>Notice of Grant</w:t>
      </w:r>
      <w:r>
        <w:rPr>
          <w:rFonts w:ascii="Arial" w:cs="Arial" w:eastAsia="Arial" w:hAnsi="Arial"/>
          <w:sz w:val="18"/>
          <w:szCs w:val="18"/>
          <w:color w:val="auto"/>
        </w:rPr>
        <w:t>”) and the attached Terms and Conditions of Stock Option (together with the Notice of Grant, the “</w:t>
      </w:r>
      <w:r>
        <w:rPr>
          <w:rFonts w:ascii="Arial" w:cs="Arial" w:eastAsia="Arial" w:hAnsi="Arial"/>
          <w:sz w:val="18"/>
          <w:szCs w:val="18"/>
          <w:b w:val="1"/>
          <w:bCs w:val="1"/>
          <w:color w:val="auto"/>
        </w:rPr>
        <w:t>Award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113665</wp:posOffset>
            </wp:positionV>
            <wp:extent cx="6988810" cy="25050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0">
                      <a:extLst>
                        <a:ext uri="{28A0092B-C50C-407E-A947-70E740481C1C}"/>
                      </a:extLst>
                    </a:blip>
                    <a:srcRect/>
                    <a:stretch>
                      <a:fillRect/>
                    </a:stretch>
                  </pic:blipFill>
                  <pic:spPr bwMode="auto">
                    <a:xfrm>
                      <a:off x="0" y="0"/>
                      <a:ext cx="6988810" cy="2505075"/>
                    </a:xfrm>
                    <a:prstGeom prst="rect">
                      <a:avLst/>
                    </a:prstGeom>
                    <a:noFill/>
                  </pic:spPr>
                </pic:pic>
              </a:graphicData>
            </a:graphic>
          </wp:anchor>
        </w:drawing>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Participant:</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247"/>
        </w:trPr>
        <w:tc>
          <w:tcPr>
            <w:tcW w:w="2600" w:type="dxa"/>
            <w:vAlign w:val="bottom"/>
          </w:tcPr>
          <w:p>
            <w:pPr>
              <w:spacing w:after="0"/>
              <w:rPr>
                <w:sz w:val="20"/>
                <w:szCs w:val="20"/>
                <w:color w:val="auto"/>
              </w:rPr>
            </w:pPr>
            <w:r>
              <w:rPr>
                <w:rFonts w:ascii="Arial" w:cs="Arial" w:eastAsia="Arial" w:hAnsi="Arial"/>
                <w:sz w:val="18"/>
                <w:szCs w:val="18"/>
                <w:b w:val="1"/>
                <w:bCs w:val="1"/>
                <w:color w:val="auto"/>
              </w:rPr>
              <w:t>Type of Option:</w:t>
            </w:r>
          </w:p>
        </w:tc>
        <w:tc>
          <w:tcPr>
            <w:tcW w:w="3440" w:type="dxa"/>
            <w:vAlign w:val="bottom"/>
          </w:tcPr>
          <w:p>
            <w:pPr>
              <w:ind w:left="1260"/>
              <w:spacing w:after="0"/>
              <w:rPr>
                <w:sz w:val="20"/>
                <w:szCs w:val="20"/>
                <w:color w:val="auto"/>
              </w:rPr>
            </w:pPr>
            <w:r>
              <w:rPr>
                <w:rFonts w:ascii="Arial" w:cs="Arial" w:eastAsia="Arial" w:hAnsi="Arial"/>
                <w:sz w:val="18"/>
                <w:szCs w:val="18"/>
                <w:color w:val="auto"/>
                <w:w w:val="99"/>
              </w:rPr>
              <w:t>Non-Qualified Stock Option</w:t>
            </w:r>
          </w:p>
        </w:tc>
      </w:tr>
    </w:tbl>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Grant Date:</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Number of Shares Purchasable:</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Option Exercise Price per Share:</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Final Exercise Date:</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Vesting Schedule: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 NO EVENT MAY THE OPTION BE EXERCISED AFTER THE FINAL EXERCISE DATE AS PROVIDED ABOVE.</w:t>
      </w: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by its duly authorized officer, and the Participant, hereby execute this Award Agreement.</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PARTICIPANT</w:t>
            </w:r>
          </w:p>
        </w:tc>
        <w:tc>
          <w:tcPr>
            <w:tcW w:w="400" w:type="dxa"/>
            <w:vAlign w:val="bottom"/>
          </w:tcPr>
          <w:p>
            <w:pPr>
              <w:spacing w:after="0"/>
              <w:rPr>
                <w:sz w:val="21"/>
                <w:szCs w:val="21"/>
                <w:color w:val="auto"/>
              </w:rPr>
            </w:pPr>
          </w:p>
        </w:tc>
        <w:tc>
          <w:tcPr>
            <w:tcW w:w="8040" w:type="dxa"/>
            <w:vAlign w:val="bottom"/>
            <w:gridSpan w:val="4"/>
          </w:tcPr>
          <w:p>
            <w:pPr>
              <w:ind w:left="400"/>
              <w:spacing w:after="0"/>
              <w:rPr>
                <w:sz w:val="20"/>
                <w:szCs w:val="20"/>
                <w:color w:val="auto"/>
              </w:rPr>
            </w:pPr>
            <w:r>
              <w:rPr>
                <w:rFonts w:ascii="Arial" w:cs="Arial" w:eastAsia="Arial" w:hAnsi="Arial"/>
                <w:sz w:val="18"/>
                <w:szCs w:val="18"/>
                <w:b w:val="1"/>
                <w:bCs w:val="1"/>
                <w:color w:val="auto"/>
              </w:rPr>
              <w:t>CUE BIOPHARMA, INC.</w:t>
            </w:r>
          </w:p>
        </w:tc>
      </w:tr>
      <w:tr>
        <w:trPr>
          <w:trHeight w:val="582"/>
        </w:trPr>
        <w:tc>
          <w:tcPr>
            <w:tcW w:w="2800" w:type="dxa"/>
            <w:vAlign w:val="bottom"/>
            <w:gridSpan w:val="2"/>
          </w:tcPr>
          <w:p>
            <w:pPr>
              <w:spacing w:after="0"/>
              <w:rPr>
                <w:sz w:val="20"/>
                <w:szCs w:val="20"/>
                <w:color w:val="auto"/>
              </w:rPr>
            </w:pPr>
            <w:r>
              <w:rPr>
                <w:rFonts w:ascii="Arial" w:cs="Arial" w:eastAsia="Arial" w:hAnsi="Arial"/>
                <w:sz w:val="18"/>
                <w:szCs w:val="18"/>
                <w:color w:val="auto"/>
              </w:rPr>
              <w:t>Sign Name:</w:t>
            </w:r>
          </w:p>
        </w:tc>
        <w:tc>
          <w:tcPr>
            <w:tcW w:w="400" w:type="dxa"/>
            <w:vAlign w:val="bottom"/>
          </w:tcPr>
          <w:p>
            <w:pPr>
              <w:spacing w:after="0"/>
              <w:rPr>
                <w:sz w:val="24"/>
                <w:szCs w:val="24"/>
                <w:color w:val="auto"/>
              </w:rPr>
            </w:pPr>
          </w:p>
        </w:tc>
        <w:tc>
          <w:tcPr>
            <w:tcW w:w="8040" w:type="dxa"/>
            <w:vAlign w:val="bottom"/>
            <w:gridSpan w:val="4"/>
          </w:tcPr>
          <w:p>
            <w:pPr>
              <w:spacing w:after="0"/>
              <w:rPr>
                <w:sz w:val="20"/>
                <w:szCs w:val="20"/>
                <w:color w:val="auto"/>
              </w:rPr>
            </w:pPr>
            <w:r>
              <w:rPr>
                <w:rFonts w:ascii="Arial" w:cs="Arial" w:eastAsia="Arial" w:hAnsi="Arial"/>
                <w:sz w:val="18"/>
                <w:szCs w:val="18"/>
                <w:color w:val="auto"/>
              </w:rPr>
              <w:t>Sign Name:</w:t>
            </w:r>
          </w:p>
        </w:tc>
      </w:tr>
      <w:tr>
        <w:trPr>
          <w:trHeight w:val="20"/>
        </w:trPr>
        <w:tc>
          <w:tcPr>
            <w:tcW w:w="960" w:type="dxa"/>
            <w:vAlign w:val="bottom"/>
            <w:tcBorders>
              <w:right w:val="single" w:sz="8" w:color="auto"/>
            </w:tcBorders>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614"/>
        </w:trPr>
        <w:tc>
          <w:tcPr>
            <w:tcW w:w="960" w:type="dxa"/>
            <w:vAlign w:val="bottom"/>
          </w:tcPr>
          <w:p>
            <w:pPr>
              <w:spacing w:after="0"/>
              <w:rPr>
                <w:sz w:val="20"/>
                <w:szCs w:val="20"/>
                <w:color w:val="auto"/>
              </w:rPr>
            </w:pPr>
            <w:r>
              <w:rPr>
                <w:rFonts w:ascii="Arial" w:cs="Arial" w:eastAsia="Arial" w:hAnsi="Arial"/>
                <w:sz w:val="18"/>
                <w:szCs w:val="18"/>
                <w:color w:val="auto"/>
                <w:w w:val="96"/>
              </w:rPr>
              <w:t>Print Name:</w:t>
            </w:r>
          </w:p>
        </w:tc>
        <w:tc>
          <w:tcPr>
            <w:tcW w:w="18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96"/>
              </w:rPr>
              <w:t>Print Name:</w:t>
            </w:r>
          </w:p>
        </w:tc>
        <w:tc>
          <w:tcPr>
            <w:tcW w:w="1840" w:type="dxa"/>
            <w:vAlign w:val="bottom"/>
            <w:tcBorders>
              <w:bottom w:val="single" w:sz="8" w:color="auto"/>
            </w:tcBorders>
            <w:gridSpan w:val="2"/>
          </w:tcPr>
          <w:p>
            <w:pPr>
              <w:spacing w:after="0"/>
              <w:rPr>
                <w:sz w:val="24"/>
                <w:szCs w:val="24"/>
                <w:color w:val="auto"/>
              </w:rPr>
            </w:pPr>
          </w:p>
        </w:tc>
        <w:tc>
          <w:tcPr>
            <w:tcW w:w="5240" w:type="dxa"/>
            <w:vAlign w:val="bottom"/>
          </w:tcPr>
          <w:p>
            <w:pPr>
              <w:spacing w:after="0"/>
              <w:rPr>
                <w:sz w:val="24"/>
                <w:szCs w:val="24"/>
                <w:color w:val="auto"/>
              </w:rPr>
            </w:pPr>
          </w:p>
        </w:tc>
      </w:tr>
      <w:tr>
        <w:trPr>
          <w:trHeight w:val="615"/>
        </w:trPr>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440" w:type="dxa"/>
            <w:vAlign w:val="bottom"/>
            <w:gridSpan w:val="5"/>
          </w:tcPr>
          <w:p>
            <w:pPr>
              <w:spacing w:after="0"/>
              <w:rPr>
                <w:sz w:val="20"/>
                <w:szCs w:val="20"/>
                <w:color w:val="auto"/>
              </w:rPr>
            </w:pPr>
            <w:r>
              <w:rPr>
                <w:rFonts w:ascii="Arial" w:cs="Arial" w:eastAsia="Arial" w:hAnsi="Arial"/>
                <w:sz w:val="18"/>
                <w:szCs w:val="18"/>
                <w:color w:val="auto"/>
              </w:rPr>
              <w:t>Title:</w:t>
            </w:r>
          </w:p>
        </w:tc>
      </w:tr>
      <w:tr>
        <w:trPr>
          <w:trHeight w:val="2282"/>
        </w:trPr>
        <w:tc>
          <w:tcPr>
            <w:tcW w:w="9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5" w:name="page156"/>
    <w:bookmarkEnd w:id="155"/>
    <w:p>
      <w:pPr>
        <w:jc w:val="center"/>
        <w:ind w:right="360"/>
        <w:spacing w:after="0"/>
        <w:rPr>
          <w:sz w:val="20"/>
          <w:szCs w:val="20"/>
          <w:color w:val="auto"/>
        </w:rPr>
      </w:pPr>
      <w:r>
        <w:rPr>
          <w:rFonts w:ascii="Arial" w:cs="Arial" w:eastAsia="Arial" w:hAnsi="Arial"/>
          <w:sz w:val="18"/>
          <w:szCs w:val="18"/>
          <w:b w:val="1"/>
          <w:bCs w:val="1"/>
          <w:color w:val="auto"/>
        </w:rPr>
        <w:t>STOCK OPTION AGREEMENT</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INCORPORATED TERMS AND CONDITIONS</w:t>
      </w:r>
    </w:p>
    <w:p>
      <w:pPr>
        <w:spacing w:after="0" w:line="204" w:lineRule="exact"/>
        <w:rPr>
          <w:sz w:val="20"/>
          <w:szCs w:val="20"/>
          <w:color w:val="auto"/>
        </w:rPr>
      </w:pPr>
    </w:p>
    <w:p>
      <w:pPr>
        <w:ind w:left="380" w:hanging="378"/>
        <w:spacing w:after="0"/>
        <w:tabs>
          <w:tab w:leader="none" w:pos="38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Grant of Option.</w:t>
      </w:r>
    </w:p>
    <w:p>
      <w:pPr>
        <w:spacing w:after="0" w:line="206" w:lineRule="exact"/>
        <w:rPr>
          <w:sz w:val="20"/>
          <w:szCs w:val="20"/>
          <w:color w:val="auto"/>
        </w:rPr>
      </w:pPr>
    </w:p>
    <w:p>
      <w:pPr>
        <w:ind w:left="380" w:right="40" w:firstLine="749"/>
        <w:spacing w:after="0" w:line="236" w:lineRule="auto"/>
        <w:rPr>
          <w:sz w:val="20"/>
          <w:szCs w:val="20"/>
          <w:color w:val="auto"/>
        </w:rPr>
      </w:pPr>
      <w:r>
        <w:rPr>
          <w:rFonts w:ascii="Arial" w:cs="Arial" w:eastAsia="Arial" w:hAnsi="Arial"/>
          <w:sz w:val="22"/>
          <w:szCs w:val="22"/>
          <w:color w:val="auto"/>
        </w:rPr>
        <w:t>This agreement evidences the grant by the Company, on the grant date (the “Grant Date”) set forth in the Notice of Grant that forms part of this agreement (the “Notice of Grant”), to the Participant of an option to purchase, in whole or in part, on the terms provided herein and in the Company’s 2025 Stock Incentive Plan (the “Plan”), the number of Shares set forth in the Notice of Grant of common stock, $0.001 par value per share, of the Company (“Common Stock”), at the exercise price per Share set forth in the Notice of Grant. Unless earlier terminated, this option shall expire at 5:00 p.m., Eastern time, on the Final Exercise Date set forth in the Notice of Grant (the “Final Exercise Date”).</w:t>
      </w:r>
    </w:p>
    <w:p>
      <w:pPr>
        <w:spacing w:after="0" w:line="176" w:lineRule="exact"/>
        <w:rPr>
          <w:sz w:val="20"/>
          <w:szCs w:val="20"/>
          <w:color w:val="auto"/>
        </w:rPr>
      </w:pPr>
    </w:p>
    <w:p>
      <w:pPr>
        <w:ind w:left="380" w:right="60" w:firstLine="749"/>
        <w:spacing w:after="0" w:line="236" w:lineRule="auto"/>
        <w:rPr>
          <w:sz w:val="20"/>
          <w:szCs w:val="20"/>
          <w:color w:val="auto"/>
        </w:rPr>
      </w:pPr>
      <w:r>
        <w:rPr>
          <w:rFonts w:ascii="Arial" w:cs="Arial" w:eastAsia="Arial" w:hAnsi="Arial"/>
          <w:sz w:val="22"/>
          <w:szCs w:val="22"/>
          <w:color w:val="auto"/>
        </w:rPr>
        <w:t>The option evidenced by this agreement is intended to be an Non-Qualified Stock Option as defined in Section 422 of the Internal Revenue Code of 1986, as amended, and any regulations promulgated thereunder (the “Code”) to the maximum extent permitted by law, solely to the extent designated as an Non-Qualified Stock Option in the Notice of Grant. Except as otherwise indicated by the context, the term “Participant”, as used in this option, shall be deemed to include any person who acquires the right to exercise this option validly under its terms.</w:t>
      </w:r>
    </w:p>
    <w:p>
      <w:pPr>
        <w:spacing w:after="0" w:line="182" w:lineRule="exact"/>
        <w:rPr>
          <w:sz w:val="20"/>
          <w:szCs w:val="20"/>
          <w:color w:val="auto"/>
        </w:rPr>
      </w:pPr>
    </w:p>
    <w:p>
      <w:pPr>
        <w:ind w:left="380" w:hanging="378"/>
        <w:spacing w:after="0"/>
        <w:tabs>
          <w:tab w:leader="none" w:pos="38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Vesting Schedule.</w:t>
      </w:r>
    </w:p>
    <w:p>
      <w:pPr>
        <w:spacing w:after="0" w:line="206" w:lineRule="exact"/>
        <w:rPr>
          <w:sz w:val="20"/>
          <w:szCs w:val="20"/>
          <w:color w:val="auto"/>
        </w:rPr>
      </w:pPr>
    </w:p>
    <w:p>
      <w:pPr>
        <w:ind w:left="380" w:right="260" w:firstLine="749"/>
        <w:spacing w:after="0" w:line="259" w:lineRule="auto"/>
        <w:rPr>
          <w:sz w:val="20"/>
          <w:szCs w:val="20"/>
          <w:color w:val="auto"/>
        </w:rPr>
      </w:pPr>
      <w:r>
        <w:rPr>
          <w:rFonts w:ascii="Arial" w:cs="Arial" w:eastAsia="Arial" w:hAnsi="Arial"/>
          <w:sz w:val="22"/>
          <w:szCs w:val="22"/>
          <w:color w:val="auto"/>
        </w:rPr>
        <w:t>This option will become exercisable (“vest”) in accordance with the vesting schedule set forth in the Notice of Grant.</w:t>
      </w:r>
    </w:p>
    <w:p>
      <w:pPr>
        <w:spacing w:after="0" w:line="156" w:lineRule="exact"/>
        <w:rPr>
          <w:sz w:val="20"/>
          <w:szCs w:val="20"/>
          <w:color w:val="auto"/>
        </w:rPr>
      </w:pPr>
    </w:p>
    <w:p>
      <w:pPr>
        <w:ind w:left="380" w:right="40" w:firstLine="749"/>
        <w:spacing w:after="0"/>
        <w:rPr>
          <w:sz w:val="20"/>
          <w:szCs w:val="20"/>
          <w:color w:val="auto"/>
        </w:rPr>
      </w:pPr>
      <w:r>
        <w:rPr>
          <w:rFonts w:ascii="Arial" w:cs="Arial" w:eastAsia="Arial" w:hAnsi="Arial"/>
          <w:sz w:val="22"/>
          <w:szCs w:val="22"/>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76" w:lineRule="exact"/>
        <w:rPr>
          <w:sz w:val="20"/>
          <w:szCs w:val="20"/>
          <w:color w:val="auto"/>
        </w:rPr>
      </w:pPr>
    </w:p>
    <w:p>
      <w:pPr>
        <w:ind w:left="380" w:hanging="378"/>
        <w:spacing w:after="0"/>
        <w:tabs>
          <w:tab w:leader="none" w:pos="38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p>
    <w:p>
      <w:pPr>
        <w:spacing w:after="0" w:line="206" w:lineRule="exact"/>
        <w:rPr>
          <w:rFonts w:ascii="Arial" w:cs="Arial" w:eastAsia="Arial" w:hAnsi="Arial"/>
          <w:sz w:val="22"/>
          <w:szCs w:val="22"/>
          <w:color w:val="auto"/>
        </w:rPr>
      </w:pPr>
    </w:p>
    <w:p>
      <w:pPr>
        <w:ind w:left="380" w:firstLine="371"/>
        <w:spacing w:after="0" w:line="238" w:lineRule="auto"/>
        <w:tabs>
          <w:tab w:leader="none" w:pos="1158"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Form of Exercise.</w:t>
      </w:r>
      <w:r>
        <w:rPr>
          <w:rFonts w:ascii="Arial" w:cs="Arial" w:eastAsia="Arial" w:hAnsi="Arial"/>
          <w:sz w:val="22"/>
          <w:szCs w:val="22"/>
          <w:color w:val="auto"/>
        </w:rPr>
        <w:t xml:space="preserve"> Each election to exercise this option shall be in such form (which may be electronic, and which may be provided to a third-party equity plan administrator) as is approved by the Company, together with payment in full in the manner provided in the Plan. The Participant may purchase less than the number of shares covered hereby, provided that no partial exercise of this option may be for any fractional share.</w:t>
      </w:r>
    </w:p>
    <w:p>
      <w:pPr>
        <w:spacing w:after="0" w:line="176" w:lineRule="exact"/>
        <w:rPr>
          <w:rFonts w:ascii="Arial" w:cs="Arial" w:eastAsia="Arial" w:hAnsi="Arial"/>
          <w:sz w:val="22"/>
          <w:szCs w:val="22"/>
          <w:color w:val="auto"/>
        </w:rPr>
      </w:pPr>
    </w:p>
    <w:p>
      <w:pPr>
        <w:jc w:val="both"/>
        <w:ind w:left="380" w:right="80" w:firstLine="371"/>
        <w:spacing w:after="0"/>
        <w:tabs>
          <w:tab w:leader="none" w:pos="1158"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Continuous Relationship with the Company Required.</w:t>
      </w:r>
      <w:r>
        <w:rPr>
          <w:rFonts w:ascii="Arial" w:cs="Arial" w:eastAsia="Arial" w:hAnsi="Arial"/>
          <w:sz w:val="22"/>
          <w:szCs w:val="22"/>
          <w:color w:val="auto"/>
        </w:rPr>
        <w:t xml:space="preserve"> Except as otherwise provided in this Section 3, this option may not be exercised unless the Participant, at the time he or she exercises this option, is, and has been at all times since the Grant Date, an employee, director or officer of, or consultant or advisor to, the Company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1007745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417" w:right="359" w:bottom="1440" w:gutter="0" w:footer="0" w:header="0"/>
        </w:sectPr>
      </w:pPr>
    </w:p>
    <w:bookmarkStart w:id="156" w:name="page157"/>
    <w:bookmarkEnd w:id="156"/>
    <w:p>
      <w:pPr>
        <w:ind w:left="378" w:right="200"/>
        <w:spacing w:after="0" w:line="259" w:lineRule="auto"/>
        <w:rPr>
          <w:sz w:val="20"/>
          <w:szCs w:val="20"/>
          <w:color w:val="auto"/>
        </w:rPr>
      </w:pPr>
      <w:r>
        <w:rPr>
          <w:rFonts w:ascii="Arial" w:cs="Arial" w:eastAsia="Arial" w:hAnsi="Arial"/>
          <w:sz w:val="22"/>
          <w:szCs w:val="22"/>
          <w:color w:val="auto"/>
        </w:rPr>
        <w:t>other entity the employees, officers, directors, consultants, or advisors of which are eligible to receive option grants under the Plan (an “Eligible Participant”).</w:t>
      </w:r>
    </w:p>
    <w:p>
      <w:pPr>
        <w:spacing w:after="0" w:line="156" w:lineRule="exact"/>
        <w:rPr>
          <w:sz w:val="20"/>
          <w:szCs w:val="20"/>
          <w:color w:val="auto"/>
        </w:rPr>
      </w:pPr>
    </w:p>
    <w:p>
      <w:pPr>
        <w:ind w:left="378" w:firstLine="371"/>
        <w:spacing w:after="0" w:line="246" w:lineRule="auto"/>
        <w:tabs>
          <w:tab w:leader="none" w:pos="1156" w:val="left"/>
        </w:tabs>
        <w:numPr>
          <w:ilvl w:val="2"/>
          <w:numId w:val="76"/>
        </w:numPr>
        <w:rPr>
          <w:rFonts w:ascii="Arial" w:cs="Arial" w:eastAsia="Arial" w:hAnsi="Arial"/>
          <w:sz w:val="21"/>
          <w:szCs w:val="21"/>
          <w:color w:val="auto"/>
        </w:rPr>
      </w:pPr>
      <w:r>
        <w:rPr>
          <w:rFonts w:ascii="Arial" w:cs="Arial" w:eastAsia="Arial" w:hAnsi="Arial"/>
          <w:sz w:val="21"/>
          <w:szCs w:val="21"/>
          <w:u w:val="single" w:color="auto"/>
          <w:color w:val="auto"/>
        </w:rPr>
        <w:t>Termination of Relationship with the Company.</w:t>
      </w:r>
      <w:r>
        <w:rPr>
          <w:rFonts w:ascii="Arial" w:cs="Arial" w:eastAsia="Arial" w:hAnsi="Arial"/>
          <w:sz w:val="21"/>
          <w:szCs w:val="21"/>
          <w:color w:val="auto"/>
        </w:rPr>
        <w:t xml:space="preserve"> If the Participant ceases to be an Eligible Participant for any reason, then, except as provided in paragraphs (d) and (e) below, the right to exercise this option shall terminate 12 months after such cessation (but in no event after the Final Exercise Date), provided that this option shall be exercisable only to the extent that the Participant was entitled to exercise this option on the date of such cessation. Notwithstanding the foregoing, if the Participant, prior to the Final Exercise Date, violates the restrictive covenants (including, without limitation, the non-competition, non-solicitation, or confidentiality provisions) of any employment contract, any non-competition, non-solicitation, confidentiality or assignment agreement to which the Participant is a party, or any other agreement between the Participant and the Company, the right to exercise this option shall terminate immediately upon such violation.</w:t>
      </w:r>
    </w:p>
    <w:p>
      <w:pPr>
        <w:spacing w:after="0" w:line="175" w:lineRule="exact"/>
        <w:rPr>
          <w:rFonts w:ascii="Arial" w:cs="Arial" w:eastAsia="Arial" w:hAnsi="Arial"/>
          <w:sz w:val="21"/>
          <w:szCs w:val="21"/>
          <w:color w:val="auto"/>
        </w:rPr>
      </w:pPr>
    </w:p>
    <w:p>
      <w:pPr>
        <w:ind w:left="378" w:right="60" w:firstLine="371"/>
        <w:spacing w:after="0" w:line="235" w:lineRule="auto"/>
        <w:tabs>
          <w:tab w:leader="none" w:pos="1156" w:val="left"/>
        </w:tabs>
        <w:numPr>
          <w:ilvl w:val="2"/>
          <w:numId w:val="76"/>
        </w:numPr>
        <w:rPr>
          <w:rFonts w:ascii="Arial" w:cs="Arial" w:eastAsia="Arial" w:hAnsi="Arial"/>
          <w:sz w:val="22"/>
          <w:szCs w:val="22"/>
          <w:color w:val="auto"/>
        </w:rPr>
      </w:pPr>
      <w:r>
        <w:rPr>
          <w:rFonts w:ascii="Arial" w:cs="Arial" w:eastAsia="Arial" w:hAnsi="Arial"/>
          <w:sz w:val="22"/>
          <w:szCs w:val="22"/>
          <w:u w:val="single" w:color="auto"/>
          <w:color w:val="auto"/>
        </w:rPr>
        <w:t>Exercise Period Upon Death or Disability.</w:t>
      </w:r>
      <w:r>
        <w:rPr>
          <w:rFonts w:ascii="Arial" w:cs="Arial" w:eastAsia="Arial" w:hAnsi="Arial"/>
          <w:sz w:val="22"/>
          <w:szCs w:val="22"/>
          <w:color w:val="auto"/>
        </w:rPr>
        <w:t xml:space="preserve"> If the Participant dies or becomes disabled (within the meaning of Section 22(e)(3) of the Code) prior to the Final Exercise Date while he or she is an Eligible Participant and the Company has not terminated such relationship for “cause” as specified in paragraph (e) below, this option shall be exercisable, within the period of one year following the date of death or disability of the Participant, by the Participant (or in the case of death by an authorized transferee), provided that this option shall be exercisable only to the extent that this option was exercisable by the Participant on the date of his or her death or disability, and further provided that this option shall not be exercisable after the Final Exercise Date.</w:t>
      </w:r>
    </w:p>
    <w:p>
      <w:pPr>
        <w:spacing w:after="0" w:line="178" w:lineRule="exact"/>
        <w:rPr>
          <w:rFonts w:ascii="Arial" w:cs="Arial" w:eastAsia="Arial" w:hAnsi="Arial"/>
          <w:sz w:val="22"/>
          <w:szCs w:val="22"/>
          <w:color w:val="auto"/>
        </w:rPr>
      </w:pPr>
    </w:p>
    <w:p>
      <w:pPr>
        <w:ind w:left="378" w:right="20" w:firstLine="371"/>
        <w:spacing w:after="0" w:line="243" w:lineRule="auto"/>
        <w:tabs>
          <w:tab w:leader="none" w:pos="1156" w:val="left"/>
        </w:tabs>
        <w:numPr>
          <w:ilvl w:val="2"/>
          <w:numId w:val="76"/>
        </w:numPr>
        <w:rPr>
          <w:rFonts w:ascii="Arial" w:cs="Arial" w:eastAsia="Arial" w:hAnsi="Arial"/>
          <w:sz w:val="21"/>
          <w:szCs w:val="21"/>
          <w:color w:val="auto"/>
        </w:rPr>
      </w:pPr>
      <w:r>
        <w:rPr>
          <w:rFonts w:ascii="Arial" w:cs="Arial" w:eastAsia="Arial" w:hAnsi="Arial"/>
          <w:sz w:val="21"/>
          <w:szCs w:val="21"/>
          <w:u w:val="single" w:color="auto"/>
          <w:color w:val="auto"/>
        </w:rPr>
        <w:t>Termination for Cause.</w:t>
      </w:r>
      <w:r>
        <w:rPr>
          <w:rFonts w:ascii="Arial" w:cs="Arial" w:eastAsia="Arial" w:hAnsi="Arial"/>
          <w:sz w:val="21"/>
          <w:szCs w:val="21"/>
          <w:color w:val="auto"/>
        </w:rPr>
        <w:t xml:space="preserve"> If, prior to the Final Exercise Date, the Participant’s employment or other service is terminated by the Company for Cause (as defined in the Plan), the right to exercise this option shall terminate immediately upon the effective date of such termination of employment or other service. If, prior to the Final Exercise Date, the Participant is given notice by the Company of the termination of his or her employment or other service by the Company for Cause, and the effective date of such termination is subsequent to the date of delivery of such notice, the right to exercise this option shall be suspended from the time of the delivery of such notice until the earlier of (i) such time as it is determined or otherwise agreed that the Participant’s employment or other service shall not be terminated for Cause as provided in such notice or</w:t>
      </w:r>
    </w:p>
    <w:p>
      <w:pPr>
        <w:spacing w:after="0" w:line="8" w:lineRule="exact"/>
        <w:rPr>
          <w:rFonts w:ascii="Arial" w:cs="Arial" w:eastAsia="Arial" w:hAnsi="Arial"/>
          <w:sz w:val="21"/>
          <w:szCs w:val="21"/>
          <w:color w:val="auto"/>
        </w:rPr>
      </w:pPr>
    </w:p>
    <w:p>
      <w:pPr>
        <w:ind w:left="378" w:right="100" w:hanging="3"/>
        <w:spacing w:after="0" w:line="234" w:lineRule="auto"/>
        <w:tabs>
          <w:tab w:leader="none" w:pos="678"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effective date of such termination of employment or other service (in which case the right to exercise this option shall, pursuant to the preceding sentence, terminate upon the effective date of such termination of employment or other service). The Participant’s employment or other service shall be considered to have been terminated for Cause if the Company determines, within 30 days after the Participant’s resignation, that termination for Cause was warranted.</w:t>
      </w:r>
    </w:p>
    <w:p>
      <w:pPr>
        <w:spacing w:after="0" w:line="177" w:lineRule="exact"/>
        <w:rPr>
          <w:rFonts w:ascii="Arial" w:cs="Arial" w:eastAsia="Arial" w:hAnsi="Arial"/>
          <w:sz w:val="22"/>
          <w:szCs w:val="22"/>
          <w:color w:val="auto"/>
        </w:rPr>
      </w:pPr>
    </w:p>
    <w:p>
      <w:pPr>
        <w:ind w:left="378" w:hanging="378"/>
        <w:spacing w:after="0"/>
        <w:tabs>
          <w:tab w:leader="none" w:pos="378"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Tax Matters.</w:t>
      </w:r>
    </w:p>
    <w:p>
      <w:pPr>
        <w:spacing w:after="0" w:line="206" w:lineRule="exact"/>
        <w:rPr>
          <w:rFonts w:ascii="Arial" w:cs="Arial" w:eastAsia="Arial" w:hAnsi="Arial"/>
          <w:sz w:val="22"/>
          <w:szCs w:val="22"/>
          <w:color w:val="auto"/>
        </w:rPr>
      </w:pPr>
    </w:p>
    <w:p>
      <w:pPr>
        <w:ind w:left="378" w:right="460" w:firstLine="371"/>
        <w:spacing w:after="0" w:line="259" w:lineRule="auto"/>
        <w:tabs>
          <w:tab w:leader="none" w:pos="1156" w:val="left"/>
        </w:tabs>
        <w:numPr>
          <w:ilvl w:val="2"/>
          <w:numId w:val="78"/>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xml:space="preserve"> No Shares will be issued pursuant to the exercise of this option unless and until the Participant pays to the Company, or makes provision satisfactory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994410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409" w:right="339" w:bottom="1440" w:gutter="0" w:footer="0" w:header="0"/>
        </w:sectPr>
      </w:pPr>
    </w:p>
    <w:bookmarkStart w:id="157" w:name="page158"/>
    <w:bookmarkEnd w:id="157"/>
    <w:p>
      <w:pPr>
        <w:ind w:left="378" w:right="340"/>
        <w:spacing w:after="0" w:line="259" w:lineRule="auto"/>
        <w:rPr>
          <w:sz w:val="20"/>
          <w:szCs w:val="20"/>
          <w:color w:val="auto"/>
        </w:rPr>
      </w:pPr>
      <w:r>
        <w:rPr>
          <w:rFonts w:ascii="Arial" w:cs="Arial" w:eastAsia="Arial" w:hAnsi="Arial"/>
          <w:sz w:val="22"/>
          <w:szCs w:val="22"/>
          <w:color w:val="auto"/>
        </w:rPr>
        <w:t>the Company for payment of, any federal, state or local withholding taxes required by law to be withheld in respect of this option.</w:t>
      </w:r>
    </w:p>
    <w:p>
      <w:pPr>
        <w:spacing w:after="0" w:line="156" w:lineRule="exact"/>
        <w:rPr>
          <w:sz w:val="20"/>
          <w:szCs w:val="20"/>
          <w:color w:val="auto"/>
        </w:rPr>
      </w:pPr>
    </w:p>
    <w:p>
      <w:pPr>
        <w:ind w:left="378" w:firstLine="371"/>
        <w:spacing w:after="0"/>
        <w:tabs>
          <w:tab w:leader="none" w:pos="1156" w:val="left"/>
        </w:tabs>
        <w:numPr>
          <w:ilvl w:val="1"/>
          <w:numId w:val="79"/>
        </w:numPr>
        <w:rPr>
          <w:rFonts w:ascii="Arial" w:cs="Arial" w:eastAsia="Arial" w:hAnsi="Arial"/>
          <w:sz w:val="22"/>
          <w:szCs w:val="22"/>
          <w:color w:val="auto"/>
        </w:rPr>
      </w:pPr>
      <w:r>
        <w:rPr>
          <w:rFonts w:ascii="Arial" w:cs="Arial" w:eastAsia="Arial" w:hAnsi="Arial"/>
          <w:sz w:val="22"/>
          <w:szCs w:val="22"/>
          <w:u w:val="single" w:color="auto"/>
          <w:color w:val="auto"/>
        </w:rPr>
        <w:t>Disqualifying Disposition.</w:t>
      </w:r>
      <w:r>
        <w:rPr>
          <w:rFonts w:ascii="Arial" w:cs="Arial" w:eastAsia="Arial" w:hAnsi="Arial"/>
          <w:sz w:val="22"/>
          <w:szCs w:val="22"/>
          <w:color w:val="auto"/>
        </w:rPr>
        <w:t xml:space="preserve"> If this option is an Non-Qualified Stock Option and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spacing w:after="0" w:line="176" w:lineRule="exact"/>
        <w:rPr>
          <w:rFonts w:ascii="Arial" w:cs="Arial" w:eastAsia="Arial" w:hAnsi="Arial"/>
          <w:sz w:val="22"/>
          <w:szCs w:val="22"/>
          <w:color w:val="auto"/>
        </w:rPr>
      </w:pPr>
    </w:p>
    <w:p>
      <w:pPr>
        <w:ind w:left="378" w:hanging="378"/>
        <w:spacing w:after="0"/>
        <w:tabs>
          <w:tab w:leader="none" w:pos="37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Transfer Restrictions; Clawback.</w:t>
      </w:r>
    </w:p>
    <w:p>
      <w:pPr>
        <w:spacing w:after="0" w:line="206" w:lineRule="exact"/>
        <w:rPr>
          <w:rFonts w:ascii="Arial" w:cs="Arial" w:eastAsia="Arial" w:hAnsi="Arial"/>
          <w:sz w:val="22"/>
          <w:szCs w:val="22"/>
          <w:color w:val="auto"/>
        </w:rPr>
      </w:pPr>
    </w:p>
    <w:p>
      <w:pPr>
        <w:ind w:left="1118" w:right="20" w:hanging="369"/>
        <w:spacing w:after="0"/>
        <w:tabs>
          <w:tab w:leader="none" w:pos="1118"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This option may not be sold, assigned, transferred, pledged, encumbered or otherwise disposed of by the Participant, either voluntarily or by operation of law, except by will or the laws of descent and distribution, and, during the lifetime of the Participant, this option shall be exercisable only by the Participant.</w:t>
      </w:r>
    </w:p>
    <w:p>
      <w:pPr>
        <w:spacing w:after="0" w:line="176" w:lineRule="exact"/>
        <w:rPr>
          <w:rFonts w:ascii="Arial" w:cs="Arial" w:eastAsia="Arial" w:hAnsi="Arial"/>
          <w:sz w:val="22"/>
          <w:szCs w:val="22"/>
          <w:color w:val="auto"/>
        </w:rPr>
      </w:pPr>
    </w:p>
    <w:p>
      <w:pPr>
        <w:ind w:left="1118" w:right="60" w:hanging="369"/>
        <w:spacing w:after="0" w:line="245" w:lineRule="auto"/>
        <w:tabs>
          <w:tab w:leader="none" w:pos="1118" w:val="left"/>
        </w:tabs>
        <w:numPr>
          <w:ilvl w:val="1"/>
          <w:numId w:val="80"/>
        </w:numPr>
        <w:rPr>
          <w:rFonts w:ascii="Arial" w:cs="Arial" w:eastAsia="Arial" w:hAnsi="Arial"/>
          <w:sz w:val="22"/>
          <w:szCs w:val="22"/>
          <w:color w:val="auto"/>
        </w:rPr>
      </w:pPr>
      <w:r>
        <w:rPr>
          <w:rFonts w:ascii="Arial" w:cs="Arial" w:eastAsia="Arial" w:hAnsi="Arial"/>
          <w:sz w:val="22"/>
          <w:szCs w:val="22"/>
          <w:color w:val="auto"/>
        </w:rPr>
        <w:t>In accepting this option, the Participant agrees to be bound by any clawback policy that the Company has in place or may adopt in the future, including, without limitation, Cue Biopharma, Inc.’s Dodd-Frank Compensation Recovery Policy.</w:t>
      </w:r>
    </w:p>
    <w:p>
      <w:pPr>
        <w:spacing w:after="0" w:line="170" w:lineRule="exact"/>
        <w:rPr>
          <w:rFonts w:ascii="Arial" w:cs="Arial" w:eastAsia="Arial" w:hAnsi="Arial"/>
          <w:sz w:val="22"/>
          <w:szCs w:val="22"/>
          <w:color w:val="auto"/>
        </w:rPr>
      </w:pPr>
    </w:p>
    <w:p>
      <w:pPr>
        <w:ind w:left="378" w:hanging="378"/>
        <w:spacing w:after="0"/>
        <w:tabs>
          <w:tab w:leader="none" w:pos="378"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Provisions of the Plan.</w:t>
      </w:r>
    </w:p>
    <w:p>
      <w:pPr>
        <w:spacing w:after="0" w:line="206" w:lineRule="exact"/>
        <w:rPr>
          <w:rFonts w:ascii="Arial" w:cs="Arial" w:eastAsia="Arial" w:hAnsi="Arial"/>
          <w:sz w:val="22"/>
          <w:szCs w:val="22"/>
          <w:color w:val="auto"/>
        </w:rPr>
      </w:pPr>
    </w:p>
    <w:p>
      <w:pPr>
        <w:ind w:left="378" w:right="420"/>
        <w:spacing w:after="0" w:line="259" w:lineRule="auto"/>
        <w:rPr>
          <w:rFonts w:ascii="Arial" w:cs="Arial" w:eastAsia="Arial" w:hAnsi="Arial"/>
          <w:sz w:val="22"/>
          <w:szCs w:val="22"/>
          <w:color w:val="auto"/>
        </w:rPr>
      </w:pPr>
      <w:r>
        <w:rPr>
          <w:rFonts w:ascii="Arial" w:cs="Arial" w:eastAsia="Arial" w:hAnsi="Arial"/>
          <w:sz w:val="22"/>
          <w:szCs w:val="22"/>
          <w:color w:val="auto"/>
        </w:rPr>
        <w:t>This option is subject to the provisions of the Plan (including the provisions relating to amendments to the Plan), a copy of which is furnished to the Participant with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994410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8"/>
          </w:cols>
          <w:pgMar w:left="702" w:top="1409" w:right="359" w:bottom="1440" w:gutter="0" w:footer="0" w:header="0"/>
        </w:sectPr>
      </w:pPr>
    </w:p>
    <w:bookmarkStart w:id="158" w:name="page159"/>
    <w:bookmarkEnd w:id="158"/>
    <w:p>
      <w:pPr>
        <w:ind w:left="10040"/>
        <w:spacing w:after="0"/>
        <w:rPr>
          <w:sz w:val="20"/>
          <w:szCs w:val="20"/>
          <w:color w:val="auto"/>
        </w:rPr>
      </w:pPr>
      <w:r>
        <w:rPr>
          <w:rFonts w:ascii="Arial" w:cs="Arial" w:eastAsia="Arial" w:hAnsi="Arial"/>
          <w:sz w:val="19"/>
          <w:szCs w:val="19"/>
          <w:b w:val="1"/>
          <w:bCs w:val="1"/>
          <w:color w:val="auto"/>
        </w:rPr>
        <w:t>Exhibit 10.20</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Cue Biopharma,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Compensation Policy</w:t>
      </w:r>
    </w:p>
    <w:p>
      <w:pPr>
        <w:spacing w:after="0" w:line="144" w:lineRule="exact"/>
        <w:rPr>
          <w:sz w:val="20"/>
          <w:szCs w:val="20"/>
          <w:color w:val="auto"/>
        </w:rPr>
      </w:pPr>
    </w:p>
    <w:p>
      <w:pPr>
        <w:ind w:right="440"/>
        <w:spacing w:after="0" w:line="241" w:lineRule="auto"/>
        <w:rPr>
          <w:sz w:val="20"/>
          <w:szCs w:val="20"/>
          <w:color w:val="auto"/>
        </w:rPr>
      </w:pPr>
      <w:r>
        <w:rPr>
          <w:rFonts w:ascii="Arial" w:cs="Arial" w:eastAsia="Arial" w:hAnsi="Arial"/>
          <w:sz w:val="20"/>
          <w:szCs w:val="20"/>
          <w:color w:val="auto"/>
        </w:rPr>
        <w:t>Members of the Board of Directors (the “Board”) of Cue Biopharma, Inc. (the “Company”) who are not employees of the Company or any subsidiary of the Company (“non-employee directors”) shall receive compensation for their services on the Board in accordance with this Director Compensation Policy (this “Policy”).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Compensation</w:t>
      </w:r>
    </w:p>
    <w:p>
      <w:pPr>
        <w:spacing w:after="0" w:line="164" w:lineRule="exact"/>
        <w:rPr>
          <w:sz w:val="20"/>
          <w:szCs w:val="20"/>
          <w:color w:val="auto"/>
        </w:rPr>
      </w:pPr>
    </w:p>
    <w:p>
      <w:pPr>
        <w:ind w:right="260"/>
        <w:spacing w:after="0" w:line="257" w:lineRule="auto"/>
        <w:rPr>
          <w:sz w:val="20"/>
          <w:szCs w:val="20"/>
          <w:color w:val="auto"/>
        </w:rPr>
      </w:pPr>
      <w:r>
        <w:rPr>
          <w:rFonts w:ascii="Arial" w:cs="Arial" w:eastAsia="Arial" w:hAnsi="Arial"/>
          <w:sz w:val="20"/>
          <w:szCs w:val="20"/>
          <w:color w:val="auto"/>
        </w:rPr>
        <w:t>Each non-employee director shall be paid an annual cash retainer of $35,000 prorated for partial periods and paid quarterly in arrears as soon as practicable following the end of each quarter for which payment under this Policy is owed.</w:t>
      </w:r>
    </w:p>
    <w:p>
      <w:pPr>
        <w:spacing w:after="0" w:line="115"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color w:val="auto"/>
        </w:rPr>
        <w:t>In addition to the annual cash retainer described above, the chairman of the Board, if he or she is a non-employee director (the “Non-Employee Chairman”), shall be paid an annual cash retainer of $30,000 and standing committee members shall be paid the annual committee fees set forth below, in each case prorated for partial periods and paid quarterly in arrears as soon as practicable following the end of each quarter for which payment under this Policy is owed.</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364"/>
        </w:trPr>
        <w:tc>
          <w:tcPr>
            <w:tcW w:w="103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Audit Committee Chair:</w:t>
            </w:r>
          </w:p>
        </w:tc>
        <w:tc>
          <w:tcPr>
            <w:tcW w:w="9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$15,000</w:t>
            </w:r>
          </w:p>
        </w:tc>
      </w:tr>
      <w:tr>
        <w:trPr>
          <w:trHeight w:val="81"/>
        </w:trPr>
        <w:tc>
          <w:tcPr>
            <w:tcW w:w="103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r>
      <w:tr>
        <w:trPr>
          <w:trHeight w:val="344"/>
        </w:trPr>
        <w:tc>
          <w:tcPr>
            <w:tcW w:w="10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Audit Committee Member (other than the committee Chair):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$7,500</w:t>
            </w:r>
          </w:p>
        </w:tc>
      </w:tr>
      <w:tr>
        <w:trPr>
          <w:trHeight w:val="84"/>
        </w:trPr>
        <w:tc>
          <w:tcPr>
            <w:tcW w:w="103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r>
      <w:tr>
        <w:trPr>
          <w:trHeight w:val="341"/>
        </w:trPr>
        <w:tc>
          <w:tcPr>
            <w:tcW w:w="10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Compensation Committee Chair: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$10,000</w:t>
            </w:r>
          </w:p>
        </w:tc>
      </w:tr>
      <w:tr>
        <w:trPr>
          <w:trHeight w:val="85"/>
        </w:trPr>
        <w:tc>
          <w:tcPr>
            <w:tcW w:w="103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r>
      <w:tr>
        <w:trPr>
          <w:trHeight w:val="341"/>
        </w:trPr>
        <w:tc>
          <w:tcPr>
            <w:tcW w:w="10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Compensation Committee Member (other than the committee Chair):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$5,000</w:t>
            </w:r>
          </w:p>
        </w:tc>
      </w:tr>
      <w:tr>
        <w:trPr>
          <w:trHeight w:val="84"/>
        </w:trPr>
        <w:tc>
          <w:tcPr>
            <w:tcW w:w="103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r>
      <w:tr>
        <w:trPr>
          <w:trHeight w:val="341"/>
        </w:trPr>
        <w:tc>
          <w:tcPr>
            <w:tcW w:w="10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Corporate Development Committee Chair: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$10,000</w:t>
            </w:r>
          </w:p>
        </w:tc>
      </w:tr>
      <w:tr>
        <w:trPr>
          <w:trHeight w:val="84"/>
        </w:trPr>
        <w:tc>
          <w:tcPr>
            <w:tcW w:w="103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r>
      <w:tr>
        <w:trPr>
          <w:trHeight w:val="341"/>
        </w:trPr>
        <w:tc>
          <w:tcPr>
            <w:tcW w:w="10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Corporate Development Committee Member (other than the committee Chair):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$5,000</w:t>
            </w:r>
          </w:p>
        </w:tc>
      </w:tr>
      <w:tr>
        <w:trPr>
          <w:trHeight w:val="84"/>
        </w:trPr>
        <w:tc>
          <w:tcPr>
            <w:tcW w:w="103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r>
      <w:tr>
        <w:trPr>
          <w:trHeight w:val="341"/>
        </w:trPr>
        <w:tc>
          <w:tcPr>
            <w:tcW w:w="10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Science and Technology Strategy Committee Chair: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$10,000</w:t>
            </w:r>
          </w:p>
        </w:tc>
      </w:tr>
      <w:tr>
        <w:trPr>
          <w:trHeight w:val="85"/>
        </w:trPr>
        <w:tc>
          <w:tcPr>
            <w:tcW w:w="103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r>
      <w:tr>
        <w:trPr>
          <w:trHeight w:val="341"/>
        </w:trPr>
        <w:tc>
          <w:tcPr>
            <w:tcW w:w="10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Science and Technology Strategy Committee Member (other than the committee Chair):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$5,000</w:t>
            </w:r>
          </w:p>
        </w:tc>
      </w:tr>
      <w:tr>
        <w:trPr>
          <w:trHeight w:val="85"/>
        </w:trPr>
        <w:tc>
          <w:tcPr>
            <w:tcW w:w="103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r>
      <w:tr>
        <w:trPr>
          <w:trHeight w:val="341"/>
        </w:trPr>
        <w:tc>
          <w:tcPr>
            <w:tcW w:w="10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Corporate Governance and Nominating Committee Chair: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$8,000</w:t>
            </w:r>
          </w:p>
        </w:tc>
      </w:tr>
      <w:tr>
        <w:trPr>
          <w:trHeight w:val="85"/>
        </w:trPr>
        <w:tc>
          <w:tcPr>
            <w:tcW w:w="103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r>
      <w:tr>
        <w:trPr>
          <w:trHeight w:val="341"/>
        </w:trPr>
        <w:tc>
          <w:tcPr>
            <w:tcW w:w="10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Corporate Governance and Nominating Committee Member (other than the committee Chair):</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$4,000</w:t>
            </w:r>
          </w:p>
        </w:tc>
      </w:tr>
      <w:tr>
        <w:trPr>
          <w:trHeight w:val="84"/>
        </w:trPr>
        <w:tc>
          <w:tcPr>
            <w:tcW w:w="10340" w:type="dxa"/>
            <w:vAlign w:val="bottom"/>
            <w:tcBorders>
              <w:left w:val="single" w:sz="8" w:color="auto"/>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w:t>
      </w:r>
    </w:p>
    <w:p>
      <w:pPr>
        <w:spacing w:after="0" w:line="164"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Upon initial appointment to the Board, a non-employee director shall be awarded, automatically and without the need for any further action by the Board, Options to purchase 48,800 shares of the Company’s common stock (“Common Stock”). So long as such non-employee director remains a Service Provider, such Options shall vest over three years with one-third vesting on the one-year anniversary of the grant date and the balance vesting in eight equal quarterly installments. Upon Separation from Service due to the non-employee director’s death, or if there is a Change in Control, then any such then unvested Options shall become fully vested as of the date of such death or Change in Control, as applicable. If such non-employee director ceases to remain a Service Provider for any reason other than death or a Change in Control, then any such unvested Options shall be forfeited as of the date of such Separation from Service.</w:t>
      </w:r>
    </w:p>
    <w:p>
      <w:pPr>
        <w:spacing w:after="0" w:line="65"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On the first trading day following December 31 of each year (each, an “Annual Option Grant Date”), each non-employee director shall be awarded, automatically and without the need for any further action by the Board, Options to purchase 24,400 shares of Common Stock. So long as such non-employee director remains a Service Provider, such Options shall become fully vested on the first anniversary of the Annual Option Grant Date. Upon Separation from Service due to the non-employee director’s death, or if there is a Change in Control, any such Options shall become fully vested as of the date of such death or Change in Control, as applicable. If a non-employee director ceases to remain a Service Provider for any reason other than death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59" w:name="page160"/>
    <w:bookmarkEnd w:id="159"/>
    <w:p>
      <w:pPr>
        <w:spacing w:after="0"/>
        <w:rPr>
          <w:sz w:val="20"/>
          <w:szCs w:val="20"/>
          <w:color w:val="auto"/>
        </w:rPr>
      </w:pPr>
      <w:r>
        <w:rPr>
          <w:rFonts w:ascii="Arial" w:cs="Arial" w:eastAsia="Arial" w:hAnsi="Arial"/>
          <w:sz w:val="20"/>
          <w:szCs w:val="20"/>
          <w:color w:val="auto"/>
        </w:rPr>
        <w:t>a Change in Control, then any such unvested Options shall be forfeited as of the date of such Separation from Service.</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Options issued in accordance with the terms of this Policy shall be made under and pursuant to the Company’s 2016 Omnibus Incentive Plan (the “Omnibus Plan”) or any successor plan. Capitalized terms used herein and not otherwise defined shall have the meanings given to them in the Non-Employee Plan or Omnibus Plan, as applicable. The Board, in its sole discretion and in recognition for meritorious service, may elect to vest up to 100% of a Director’s unvested equity awards upon retirement.</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Non-Employee Director Compensation Limit</w:t>
      </w:r>
    </w:p>
    <w:p>
      <w:pPr>
        <w:spacing w:after="0" w:line="177"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Notwithstanding anything herein to the contrary, the cash compensation and equity compensation that each non-employee director is entitled to receive under this Policy shall be subject to the limits set forth in Section 4.3.4 of the Omnibus Plan or any similar limits in any successor plan.</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Expense Reimbursement</w:t>
      </w:r>
    </w:p>
    <w:p>
      <w:pPr>
        <w:spacing w:after="0" w:line="164"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The compensation described in this Policy is in addition to reimbursement of all reasonable out-of-pocket expenses incurred by directors in attending meetings of the Board.</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Directors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An employee of the Company who serves as a director receives no additional compensation for such service.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Adopted Effective December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729615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6" w:right="399" w:bottom="1440" w:gutter="0" w:footer="0" w:header="0"/>
        </w:sectPr>
      </w:pPr>
    </w:p>
    <w:bookmarkStart w:id="160" w:name="page161"/>
    <w:bookmarkEnd w:id="160"/>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10.27</w:t>
      </w:r>
    </w:p>
    <w:p>
      <w:pPr>
        <w:spacing w:after="0" w:line="5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CUE BIOPHARMA, INC. EXECUTIVE</w:t>
      </w:r>
    </w:p>
    <w:p>
      <w:pPr>
        <w:spacing w:after="0" w:line="1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4" w:lineRule="exact"/>
        <w:rPr>
          <w:sz w:val="20"/>
          <w:szCs w:val="20"/>
          <w:color w:val="auto"/>
        </w:rPr>
      </w:pPr>
    </w:p>
    <w:p>
      <w:pPr>
        <w:jc w:val="center"/>
        <w:ind w:right="400"/>
        <w:spacing w:after="0" w:line="235" w:lineRule="auto"/>
        <w:rPr>
          <w:sz w:val="20"/>
          <w:szCs w:val="20"/>
          <w:color w:val="auto"/>
        </w:rPr>
      </w:pPr>
      <w:r>
        <w:rPr>
          <w:rFonts w:ascii="Times New Roman" w:cs="Times New Roman" w:eastAsia="Times New Roman" w:hAnsi="Times New Roman"/>
          <w:sz w:val="22"/>
          <w:szCs w:val="22"/>
          <w:b w:val="1"/>
          <w:bCs w:val="1"/>
          <w:color w:val="auto"/>
        </w:rPr>
        <w:t>This Executive Employment Agreement (the “Agreement”) is made by and between Cue Biopharma, Inc., a Delaware corporation (“Cue” or the “Company”), and Lucinda Warren (“Executive,” and together with Cue, the “Parties”).</w:t>
      </w:r>
    </w:p>
    <w:p>
      <w:pPr>
        <w:spacing w:after="0" w:line="160" w:lineRule="exact"/>
        <w:rPr>
          <w:sz w:val="20"/>
          <w:szCs w:val="20"/>
          <w:color w:val="auto"/>
        </w:rPr>
      </w:pPr>
    </w:p>
    <w:p>
      <w:pPr>
        <w:jc w:val="both"/>
        <w:ind w:right="380" w:firstLine="747"/>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Executive desire to enter into this Agreement to set forth the conditions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the Executive is to be employed by the Company.</w:t>
      </w:r>
    </w:p>
    <w:p>
      <w:pPr>
        <w:spacing w:after="0" w:line="150" w:lineRule="exact"/>
        <w:rPr>
          <w:sz w:val="20"/>
          <w:szCs w:val="20"/>
          <w:color w:val="auto"/>
        </w:rPr>
      </w:pPr>
    </w:p>
    <w:p>
      <w:pPr>
        <w:jc w:val="both"/>
        <w:ind w:right="380" w:firstLine="747"/>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of the mutual promises contained herein and of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good and valuable consideration, the receipt and sufficiency of which are hereby acknowledged, the Parties hereby agree as follows:</w:t>
      </w:r>
    </w:p>
    <w:p>
      <w:pPr>
        <w:spacing w:after="0" w:line="181" w:lineRule="exact"/>
        <w:rPr>
          <w:sz w:val="20"/>
          <w:szCs w:val="20"/>
          <w:color w:val="auto"/>
        </w:rPr>
      </w:pPr>
    </w:p>
    <w:p>
      <w:pPr>
        <w:ind w:left="760" w:hanging="758"/>
        <w:spacing w:after="0"/>
        <w:tabs>
          <w:tab w:leader="none" w:pos="76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 AND DUTIES.</w:t>
      </w:r>
    </w:p>
    <w:p>
      <w:pPr>
        <w:spacing w:after="0" w:line="192" w:lineRule="exact"/>
        <w:rPr>
          <w:rFonts w:ascii="Times New Roman" w:cs="Times New Roman" w:eastAsia="Times New Roman" w:hAnsi="Times New Roman"/>
          <w:sz w:val="22"/>
          <w:szCs w:val="22"/>
          <w:b w:val="1"/>
          <w:bCs w:val="1"/>
          <w:color w:val="auto"/>
        </w:rPr>
      </w:pPr>
    </w:p>
    <w:p>
      <w:pPr>
        <w:jc w:val="both"/>
        <w:ind w:right="380" w:firstLine="725"/>
        <w:spacing w:after="0" w:line="241" w:lineRule="auto"/>
        <w:tabs>
          <w:tab w:leader="none" w:pos="1113"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Cue shall employ the Executive as Chief Business Officer (“</w:t>
      </w:r>
      <w:r>
        <w:rPr>
          <w:rFonts w:ascii="Times New Roman" w:cs="Times New Roman" w:eastAsia="Times New Roman" w:hAnsi="Times New Roman"/>
          <w:sz w:val="22"/>
          <w:szCs w:val="22"/>
          <w:b w:val="1"/>
          <w:bCs w:val="1"/>
          <w:color w:val="auto"/>
        </w:rPr>
        <w:t>CBO</w:t>
      </w:r>
      <w:r>
        <w:rPr>
          <w:rFonts w:ascii="Times New Roman" w:cs="Times New Roman" w:eastAsia="Times New Roman" w:hAnsi="Times New Roman"/>
          <w:sz w:val="22"/>
          <w:szCs w:val="22"/>
          <w:color w:val="auto"/>
        </w:rPr>
        <w:t>”) and the Executive shall have such duties and authority commensurate with the position and such other duties commensurate with the positions that may be assigned by the Chief Executive Officer of Cue (the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 or Board of Directors of Cue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left="1160" w:hanging="409"/>
        <w:spacing w:after="0"/>
        <w:tabs>
          <w:tab w:leader="none" w:pos="1160"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 shall report directly to the </w:t>
      </w:r>
      <w:r>
        <w:rPr>
          <w:rFonts w:ascii="Times New Roman" w:cs="Times New Roman" w:eastAsia="Times New Roman" w:hAnsi="Times New Roman"/>
          <w:sz w:val="22"/>
          <w:szCs w:val="22"/>
          <w:b w:val="1"/>
          <w:bCs w:val="1"/>
          <w:color w:val="auto"/>
        </w:rPr>
        <w:t>CEO</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right="560"/>
        <w:spacing w:after="0" w:line="236" w:lineRule="auto"/>
        <w:rPr>
          <w:sz w:val="20"/>
          <w:szCs w:val="20"/>
          <w:color w:val="auto"/>
        </w:rPr>
      </w:pPr>
      <w:r>
        <w:rPr>
          <w:rFonts w:ascii="Times New Roman" w:cs="Times New Roman" w:eastAsia="Times New Roman" w:hAnsi="Times New Roman"/>
          <w:sz w:val="22"/>
          <w:szCs w:val="22"/>
          <w:color w:val="auto"/>
        </w:rPr>
        <w:t xml:space="preserve">The Executive shall devote all of the Executive’s business time, energy, judgment, knowledge and skill and the Executive’s best efforts to the performance of CBO’s duties with Cue,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prevent the Executive from (i) serving on up to two noncompeting boards of directors; (ii) participating in charitable, civic, educational, professional, community or industry affairs or (iii) managing Executive’s passive personal investments, so long as, with respect to (i), (ii), and (iii) such activities in the aggregate do not interfere or conflict with Executive’s duties hereunder or create a potential material business or material fiduciary conflict.</w:t>
      </w:r>
    </w:p>
    <w:p>
      <w:pPr>
        <w:spacing w:after="0" w:line="204" w:lineRule="exact"/>
        <w:rPr>
          <w:sz w:val="20"/>
          <w:szCs w:val="20"/>
          <w:color w:val="auto"/>
        </w:rPr>
      </w:pPr>
    </w:p>
    <w:p>
      <w:pPr>
        <w:jc w:val="both"/>
        <w:ind w:right="38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2.Effective Date and Term </w:t>
      </w:r>
      <w:r>
        <w:rPr>
          <w:rFonts w:ascii="Times New Roman" w:cs="Times New Roman" w:eastAsia="Times New Roman" w:hAnsi="Times New Roman"/>
          <w:sz w:val="22"/>
          <w:szCs w:val="22"/>
          <w:color w:val="auto"/>
        </w:rPr>
        <w:t>This Agreement shall have an Effective Date that begins on September 1, 2024,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and continues in effect for no less than two years and may be extended in writing by the Parties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xml:space="preserve">”) and unless terminated sooner in accordance with </w:t>
      </w:r>
      <w:r>
        <w:rPr>
          <w:rFonts w:ascii="Times New Roman" w:cs="Times New Roman" w:eastAsia="Times New Roman" w:hAnsi="Times New Roman"/>
          <w:sz w:val="22"/>
          <w:szCs w:val="22"/>
          <w:b w:val="1"/>
          <w:bCs w:val="1"/>
          <w:color w:val="auto"/>
        </w:rPr>
        <w:t>Section 7</w:t>
      </w:r>
      <w:r>
        <w:rPr>
          <w:rFonts w:ascii="Times New Roman" w:cs="Times New Roman" w:eastAsia="Times New Roman" w:hAnsi="Times New Roman"/>
          <w:sz w:val="22"/>
          <w:szCs w:val="22"/>
          <w:color w:val="auto"/>
        </w:rPr>
        <w:t xml:space="preserve"> below.</w:t>
      </w:r>
    </w:p>
    <w:p>
      <w:pPr>
        <w:spacing w:after="0" w:line="167" w:lineRule="exact"/>
        <w:rPr>
          <w:sz w:val="20"/>
          <w:szCs w:val="20"/>
          <w:color w:val="auto"/>
        </w:rPr>
      </w:pPr>
    </w:p>
    <w:p>
      <w:pPr>
        <w:jc w:val="both"/>
        <w:ind w:right="38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3.BASE SALARY. </w:t>
      </w:r>
      <w:r>
        <w:rPr>
          <w:rFonts w:ascii="Times New Roman" w:cs="Times New Roman" w:eastAsia="Times New Roman" w:hAnsi="Times New Roman"/>
          <w:sz w:val="22"/>
          <w:szCs w:val="22"/>
          <w:color w:val="auto"/>
        </w:rPr>
        <w:t>During Executive’s employment with the Company, Cue shall initially pay the Executive a base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salary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of $450,000 annually, payable in accordance with the regular payroll practices of Cue. The Base Salary shall be subject to all applicable taxes and withholdings. In addition, the Base Salary shall be subject to periodic review and may be adjusted from time to time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1050925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161" w:name="page162"/>
    <w:bookmarkEnd w:id="161"/>
    <w:p>
      <w:pPr>
        <w:spacing w:after="0" w:line="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4.ANNUAL BONUS. </w:t>
      </w:r>
      <w:r>
        <w:rPr>
          <w:rFonts w:ascii="Times New Roman" w:cs="Times New Roman" w:eastAsia="Times New Roman" w:hAnsi="Times New Roman"/>
          <w:sz w:val="22"/>
          <w:szCs w:val="22"/>
          <w:color w:val="auto"/>
        </w:rPr>
        <w:t>Executive shall be eligible to receive an annual incentive bonus (the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achievement of key performance indicators for Cue, with the level of achievement, the key performance indicators, and actual amount of the Annual Bonus determined by the Compensation Committee of the Board or its delegate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in its sole discretion. Executive’s target Annual Bonus for each calendar year shall be up to forty percent (40%) of the Base Salary. Any Annual Bonus awarded to the Executive shall be paid by the Company as scheduled by management, provided that no Annual Bonus shall be considered earned until the Board makes all necessary determinations with respect to the Annual Bonus.</w:t>
      </w:r>
    </w:p>
    <w:p>
      <w:pPr>
        <w:spacing w:after="0" w:line="17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5.STOCK OPTIONS. </w:t>
      </w:r>
      <w:r>
        <w:rPr>
          <w:rFonts w:ascii="Times New Roman" w:cs="Times New Roman" w:eastAsia="Times New Roman" w:hAnsi="Times New Roman"/>
          <w:sz w:val="22"/>
          <w:szCs w:val="22"/>
          <w:color w:val="auto"/>
        </w:rPr>
        <w:t>As consideration for the noncompetition restrictions referenced in</w:t>
      </w:r>
      <w:r>
        <w:rPr>
          <w:rFonts w:ascii="Times New Roman" w:cs="Times New Roman" w:eastAsia="Times New Roman" w:hAnsi="Times New Roman"/>
          <w:sz w:val="22"/>
          <w:szCs w:val="22"/>
          <w:b w:val="1"/>
          <w:bCs w:val="1"/>
          <w:color w:val="auto"/>
        </w:rPr>
        <w:t xml:space="preserve"> Section 10(b)</w:t>
      </w:r>
      <w:r>
        <w:rPr>
          <w:rFonts w:ascii="Times New Roman" w:cs="Times New Roman" w:eastAsia="Times New Roman" w:hAnsi="Times New Roman"/>
          <w:sz w:val="22"/>
          <w:szCs w:val="22"/>
          <w:color w:val="auto"/>
        </w:rPr>
        <w:t>,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Executive shall be granted an Option (as defined in the Cue Biopharma, Inc. 2016 Omnibus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to purchase 350,000 shares of Cue’s Common Stock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The exercise price per share of the Option shall be equal to the Fair Market Value (as defined in the Plan) of a share of Common Stock as of the Grant Date (as defined in the Plan). The Option shall have a term that expires ten years from the Grant Date. The Option shall be subject to the terms and conditions applicable to Options granted under the Plan, as described in the Plan and the applicable Award Agreement (as defined in the Plan), which terms shall not be inconsistent with this Agreement and shall provide for the additional equity-related terms provided in this Agreement. The Option shall become exercisable over two years in equal, semi-annual installments beginning six months from the Grant Date, subject to the terms and conditions of the Plan and the applicable Award Agreement.</w:t>
      </w:r>
    </w:p>
    <w:p>
      <w:pPr>
        <w:spacing w:after="0" w:line="193" w:lineRule="exact"/>
        <w:rPr>
          <w:sz w:val="20"/>
          <w:szCs w:val="20"/>
          <w:color w:val="auto"/>
        </w:rPr>
      </w:pPr>
    </w:p>
    <w:p>
      <w:pPr>
        <w:ind w:left="760" w:hanging="758"/>
        <w:spacing w:after="0"/>
        <w:tabs>
          <w:tab w:leader="none" w:pos="7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BENEFITS</w:t>
      </w:r>
    </w:p>
    <w:p>
      <w:pPr>
        <w:spacing w:after="0" w:line="192" w:lineRule="exact"/>
        <w:rPr>
          <w:rFonts w:ascii="Times New Roman" w:cs="Times New Roman" w:eastAsia="Times New Roman" w:hAnsi="Times New Roman"/>
          <w:sz w:val="22"/>
          <w:szCs w:val="22"/>
          <w:b w:val="1"/>
          <w:bCs w:val="1"/>
          <w:color w:val="auto"/>
        </w:rPr>
      </w:pPr>
    </w:p>
    <w:p>
      <w:pPr>
        <w:jc w:val="both"/>
        <w:ind w:firstLine="725"/>
        <w:spacing w:after="0" w:line="237" w:lineRule="auto"/>
        <w:tabs>
          <w:tab w:leader="none" w:pos="1113"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BENEFIT PLANS. </w:t>
      </w:r>
      <w:r>
        <w:rPr>
          <w:rFonts w:ascii="Times New Roman" w:cs="Times New Roman" w:eastAsia="Times New Roman" w:hAnsi="Times New Roman"/>
          <w:sz w:val="22"/>
          <w:szCs w:val="22"/>
          <w:color w:val="auto"/>
        </w:rPr>
        <w:t>During the Executive’s employment with Cue, Executive shall be eligible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participate, in accordance with and subject to any terms and conditions thereof, any employee benefit plans that Cue has adopted or may adopt, maintains or contributes to for the benefit of its employees generally, except to the extent such plans are duplicative of the benefits otherwise provided to Executive hereunder. Executive’s participation shall be subject to the applicable plan documents and generally applicable Cue policies. Notwithstanding the foregoing, Cue may modify or terminate any employee benefit plan at any time.</w:t>
      </w:r>
    </w:p>
    <w:p>
      <w:pPr>
        <w:spacing w:after="0" w:line="179" w:lineRule="exact"/>
        <w:rPr>
          <w:rFonts w:ascii="Times New Roman" w:cs="Times New Roman" w:eastAsia="Times New Roman" w:hAnsi="Times New Roman"/>
          <w:sz w:val="22"/>
          <w:szCs w:val="22"/>
          <w:color w:val="auto"/>
        </w:rPr>
      </w:pPr>
    </w:p>
    <w:p>
      <w:pPr>
        <w:jc w:val="both"/>
        <w:ind w:firstLine="725"/>
        <w:spacing w:after="0" w:line="235" w:lineRule="auto"/>
        <w:tabs>
          <w:tab w:leader="none" w:pos="1113"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HOLIDAYS/PERSONAL TIME OFF/SICK TIME. During the Executive’s employment with Cue, the Executive shall be eligible for the public holidays on which the business of the Company is officially closed in accordance with the Company’s holiday policy. During the Term, Executive shall be entitled to paid vacation time in accordance with Cue’s policy applicable to senior management employees as in effect from time to time. Finally, the Executive shall be entitled to one week (5 business days) of personal and sick days each year, which may be used for doctor appointments, religious observances, personal matters, and all other reasons permitted for personal and sick days as set forth in the Company’s Employee Handbook.</w:t>
      </w:r>
    </w:p>
    <w:p>
      <w:pPr>
        <w:spacing w:after="0" w:line="223" w:lineRule="exact"/>
        <w:rPr>
          <w:rFonts w:ascii="Times New Roman" w:cs="Times New Roman" w:eastAsia="Times New Roman" w:hAnsi="Times New Roman"/>
          <w:sz w:val="22"/>
          <w:szCs w:val="22"/>
          <w:color w:val="auto"/>
        </w:rPr>
      </w:pPr>
    </w:p>
    <w:p>
      <w:pPr>
        <w:jc w:val="both"/>
        <w:ind w:right="280" w:firstLine="751"/>
        <w:spacing w:after="0" w:line="239" w:lineRule="auto"/>
        <w:tabs>
          <w:tab w:leader="none" w:pos="1133"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EXPENSES. Upon presentation of reasonable substantiation and documentation as Cue may require from time to time, Executive shall be reimbursed in accordance with Cue’s expense reimbursement policy, for all reasonable out-of-pocket business expenses incurred and paid by Executive during his employment with the Company and in connection with the performance of Executive’s duties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1053465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162" w:name="page163"/>
    <w:bookmarkEnd w:id="162"/>
    <w:p>
      <w:pPr>
        <w:spacing w:after="0" w:line="117" w:lineRule="exact"/>
        <w:rPr>
          <w:sz w:val="20"/>
          <w:szCs w:val="20"/>
          <w:color w:val="auto"/>
        </w:rPr>
      </w:pPr>
    </w:p>
    <w:p>
      <w:pPr>
        <w:ind w:right="580" w:firstLine="751"/>
        <w:spacing w:after="0" w:line="244" w:lineRule="auto"/>
        <w:tabs>
          <w:tab w:leader="none" w:pos="113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INDEMNIFICATION AND INSURANCE. The Company shall provide the Executive with indemnification, the advancement of expenses and insurance coverage to the </w:t>
      </w:r>
      <w:r>
        <w:rPr>
          <w:rFonts w:ascii="Times New Roman" w:cs="Times New Roman" w:eastAsia="Times New Roman" w:hAnsi="Times New Roman"/>
          <w:sz w:val="17"/>
          <w:szCs w:val="17"/>
          <w:color w:val="auto"/>
        </w:rPr>
        <w:t>fullest extent provided under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bylaws and to the fullest extent provided to other C-Suite executives of the Company.</w:t>
      </w:r>
    </w:p>
    <w:p>
      <w:pPr>
        <w:spacing w:after="0" w:line="23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7.TERMINATION. </w:t>
      </w:r>
      <w:r>
        <w:rPr>
          <w:rFonts w:ascii="Times New Roman" w:cs="Times New Roman" w:eastAsia="Times New Roman" w:hAnsi="Times New Roman"/>
          <w:sz w:val="22"/>
          <w:szCs w:val="22"/>
          <w:color w:val="auto"/>
        </w:rPr>
        <w:t>Executive’s employment under this Agreement shall terminate on the first to occur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w:t>
      </w:r>
    </w:p>
    <w:p>
      <w:pPr>
        <w:spacing w:after="0" w:line="150" w:lineRule="exact"/>
        <w:rPr>
          <w:sz w:val="20"/>
          <w:szCs w:val="20"/>
          <w:color w:val="auto"/>
        </w:rPr>
      </w:pPr>
    </w:p>
    <w:p>
      <w:pPr>
        <w:jc w:val="both"/>
        <w:ind w:firstLine="725"/>
        <w:spacing w:after="0" w:line="256" w:lineRule="auto"/>
        <w:tabs>
          <w:tab w:leader="none" w:pos="1113"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DISABILITY. </w:t>
      </w:r>
      <w:r>
        <w:rPr>
          <w:rFonts w:ascii="Times New Roman" w:cs="Times New Roman" w:eastAsia="Times New Roman" w:hAnsi="Times New Roman"/>
          <w:sz w:val="21"/>
          <w:szCs w:val="21"/>
          <w:color w:val="auto"/>
        </w:rPr>
        <w:t>Upon 30 days’ prior written notice by Cue to Executive of termination due to Disability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while a Disability exists. “</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shall mean Executive is unable to perform the essential duties of Executive’s position by reason of a medically determinable physical or mental impairment that is potentially permanent in character or that can be expected to last for a continuous period of not less than 12 months from the start of such Disability.</w:t>
      </w:r>
    </w:p>
    <w:p>
      <w:pPr>
        <w:spacing w:after="0" w:line="157" w:lineRule="exact"/>
        <w:rPr>
          <w:rFonts w:ascii="Times New Roman" w:cs="Times New Roman" w:eastAsia="Times New Roman" w:hAnsi="Times New Roman"/>
          <w:sz w:val="21"/>
          <w:szCs w:val="21"/>
          <w:color w:val="auto"/>
        </w:rPr>
      </w:pPr>
    </w:p>
    <w:p>
      <w:pPr>
        <w:ind w:left="1120" w:hanging="395"/>
        <w:spacing w:after="0"/>
        <w:tabs>
          <w:tab w:leader="none" w:pos="11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DEATH. </w:t>
      </w:r>
      <w:r>
        <w:rPr>
          <w:rFonts w:ascii="Times New Roman" w:cs="Times New Roman" w:eastAsia="Times New Roman" w:hAnsi="Times New Roman"/>
          <w:sz w:val="22"/>
          <w:szCs w:val="22"/>
          <w:color w:val="auto"/>
        </w:rPr>
        <w:t>Automatically upon the death of Executive.</w:t>
      </w:r>
    </w:p>
    <w:p>
      <w:pPr>
        <w:spacing w:after="0" w:line="206" w:lineRule="exact"/>
        <w:rPr>
          <w:rFonts w:ascii="Times New Roman" w:cs="Times New Roman" w:eastAsia="Times New Roman" w:hAnsi="Times New Roman"/>
          <w:sz w:val="22"/>
          <w:szCs w:val="22"/>
          <w:color w:val="auto"/>
        </w:rPr>
      </w:pPr>
    </w:p>
    <w:p>
      <w:pPr>
        <w:ind w:firstLine="725"/>
        <w:spacing w:after="0" w:line="262" w:lineRule="auto"/>
        <w:tabs>
          <w:tab w:leader="none" w:pos="111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CAUSE. </w:t>
      </w:r>
      <w:r>
        <w:rPr>
          <w:rFonts w:ascii="Times New Roman" w:cs="Times New Roman" w:eastAsia="Times New Roman" w:hAnsi="Times New Roman"/>
          <w:sz w:val="22"/>
          <w:szCs w:val="22"/>
          <w:color w:val="auto"/>
        </w:rPr>
        <w:t>Immediately upon written notice by Cue to Executive of a termination for Cause.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 a good faith determination by the Board of:</w:t>
      </w:r>
    </w:p>
    <w:p>
      <w:pPr>
        <w:spacing w:after="0" w:line="154" w:lineRule="exact"/>
        <w:rPr>
          <w:sz w:val="20"/>
          <w:szCs w:val="20"/>
          <w:color w:val="auto"/>
        </w:rPr>
      </w:pPr>
    </w:p>
    <w:p>
      <w:pPr>
        <w:jc w:val="both"/>
        <w:ind w:firstLine="1446"/>
        <w:spacing w:after="0" w:line="258" w:lineRule="auto"/>
        <w:rPr>
          <w:sz w:val="20"/>
          <w:szCs w:val="20"/>
          <w:color w:val="auto"/>
        </w:rPr>
      </w:pPr>
      <w:r>
        <w:rPr>
          <w:rFonts w:ascii="Times New Roman" w:cs="Times New Roman" w:eastAsia="Times New Roman" w:hAnsi="Times New Roman"/>
          <w:sz w:val="22"/>
          <w:szCs w:val="22"/>
          <w:color w:val="auto"/>
        </w:rPr>
        <w:t>(i)the commission of any act by Executive constituting financial dishonesty against Cue or its Affiliates, which act would be chargeable as a felony under applicable law;</w:t>
      </w:r>
    </w:p>
    <w:p>
      <w:pPr>
        <w:spacing w:after="0" w:line="158" w:lineRule="exact"/>
        <w:rPr>
          <w:sz w:val="20"/>
          <w:szCs w:val="20"/>
          <w:color w:val="auto"/>
        </w:rPr>
      </w:pPr>
    </w:p>
    <w:p>
      <w:pPr>
        <w:jc w:val="both"/>
        <w:ind w:firstLine="1446"/>
        <w:spacing w:after="0" w:line="238" w:lineRule="auto"/>
        <w:rPr>
          <w:sz w:val="20"/>
          <w:szCs w:val="20"/>
          <w:color w:val="auto"/>
        </w:rPr>
      </w:pPr>
      <w:r>
        <w:rPr>
          <w:rFonts w:ascii="Times New Roman" w:cs="Times New Roman" w:eastAsia="Times New Roman" w:hAnsi="Times New Roman"/>
          <w:sz w:val="22"/>
          <w:szCs w:val="22"/>
          <w:color w:val="auto"/>
        </w:rPr>
        <w:t>(ii)Executive’s engaging in any other act of fraud, intentional and material misrepresentation, moral turpitude, illegality, discrimination, harassment, or retaliation that would (a) materially adversely affect the business or the reputation of Cue or any of its Affiliates with their respective current or prospective customers, suppliers, lenders or other third parties with whom such entity does or might do business or (b) expose Cue or any of its Affiliates to a risk of civil or criminal legal damages, liabilities or penalties;</w:t>
      </w:r>
    </w:p>
    <w:p>
      <w:pPr>
        <w:spacing w:after="0" w:line="177" w:lineRule="exact"/>
        <w:rPr>
          <w:sz w:val="20"/>
          <w:szCs w:val="20"/>
          <w:color w:val="auto"/>
        </w:rPr>
      </w:pPr>
    </w:p>
    <w:p>
      <w:pPr>
        <w:ind w:left="1840" w:hanging="392"/>
        <w:spacing w:after="0"/>
        <w:tabs>
          <w:tab w:leader="none" w:pos="184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repeated and material failure by Executive to follow the reasonable and lawful directives of the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CEO or the Board;</w:t>
      </w:r>
    </w:p>
    <w:p>
      <w:pPr>
        <w:spacing w:after="0" w:line="182" w:lineRule="exact"/>
        <w:rPr>
          <w:rFonts w:ascii="Times New Roman" w:cs="Times New Roman" w:eastAsia="Times New Roman" w:hAnsi="Times New Roman"/>
          <w:sz w:val="21"/>
          <w:szCs w:val="21"/>
          <w:color w:val="auto"/>
        </w:rPr>
      </w:pPr>
    </w:p>
    <w:p>
      <w:pPr>
        <w:jc w:val="both"/>
        <w:ind w:firstLine="1448"/>
        <w:spacing w:after="0" w:line="244" w:lineRule="auto"/>
        <w:tabs>
          <w:tab w:leader="none" w:pos="183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misconduct, material and willful violation of Cue’s or its Affiliates’ written policies applicable to Executive, or willful and deliberate breach of duty by Executive in connection with the business affairs of Cue or its Affiliates; or</w:t>
      </w:r>
    </w:p>
    <w:p>
      <w:pPr>
        <w:spacing w:after="0" w:line="17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(v)Executive's material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1061085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163" w:name="page164"/>
    <w:bookmarkEnd w:id="163"/>
    <w:p>
      <w:pPr>
        <w:spacing w:after="0" w:line="9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Executive shall be given written notice detailing the specific Cause event and a period of 10 days following Executive’s receipt of such notice to cure such event (if susceptible to cure, as determined by the Board) to the reasonable satisfaction of the Board. Notwithstanding anything to the contrary contained herein, Executive’s right to cure as set forth in the preceding sentence shall not apply if there are habitual or repeated breaches by Executive. A termination for Cause shall be deemed to include a determination by the Board or its designee following Executive’s termination of service that circumstances existing prior to such termination would have entitled Cue to have terminated Executive for Cause, in which case Executive shall be treated as a Bad Leaver in accordance with </w:t>
      </w:r>
      <w:r>
        <w:rPr>
          <w:rFonts w:ascii="Times New Roman" w:cs="Times New Roman" w:eastAsia="Times New Roman" w:hAnsi="Times New Roman"/>
          <w:sz w:val="22"/>
          <w:szCs w:val="22"/>
          <w:b w:val="1"/>
          <w:bCs w:val="1"/>
          <w:color w:val="auto"/>
        </w:rPr>
        <w:t>Section 10(g)</w:t>
      </w:r>
      <w:r>
        <w:rPr>
          <w:rFonts w:ascii="Times New Roman" w:cs="Times New Roman" w:eastAsia="Times New Roman" w:hAnsi="Times New Roman"/>
          <w:sz w:val="22"/>
          <w:szCs w:val="22"/>
          <w:color w:val="auto"/>
        </w:rPr>
        <w:t xml:space="preserve">. All rights Executive has or may have under this Agreement (including as set forth in </w:t>
      </w:r>
      <w:r>
        <w:rPr>
          <w:rFonts w:ascii="Times New Roman" w:cs="Times New Roman" w:eastAsia="Times New Roman" w:hAnsi="Times New Roman"/>
          <w:sz w:val="22"/>
          <w:szCs w:val="22"/>
          <w:b w:val="1"/>
          <w:bCs w:val="1"/>
          <w:color w:val="auto"/>
        </w:rPr>
        <w:t>Section 10(d)</w:t>
      </w:r>
      <w:r>
        <w:rPr>
          <w:rFonts w:ascii="Times New Roman" w:cs="Times New Roman" w:eastAsia="Times New Roman" w:hAnsi="Times New Roman"/>
          <w:sz w:val="22"/>
          <w:szCs w:val="22"/>
          <w:color w:val="auto"/>
        </w:rPr>
        <w:t xml:space="preserve"> below) shall be suspended automatically during the pendency of any investigation by the Board or its designee, or during any negotiations between the Board or its designee and Executive, regarding any actual or alleged act or omission by Executive of the type described in this definition of Cause. For purposes of the foregoing, no act, or failure to act or refusal to act, on the part of Executive shall be considered “willful” unless it is done, or omitted to be done, by Executive in bad faith or without reasonable belief that Executive’s action or omission was in the best interests of Cue.</w:t>
      </w:r>
    </w:p>
    <w:p>
      <w:pPr>
        <w:spacing w:after="0" w:line="178" w:lineRule="exact"/>
        <w:rPr>
          <w:sz w:val="20"/>
          <w:szCs w:val="20"/>
          <w:color w:val="auto"/>
        </w:rPr>
      </w:pPr>
    </w:p>
    <w:p>
      <w:pPr>
        <w:jc w:val="both"/>
        <w:ind w:right="20" w:firstLine="725"/>
        <w:spacing w:after="0" w:line="241" w:lineRule="auto"/>
        <w:tabs>
          <w:tab w:leader="none" w:pos="111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Upon written notice by Executive to Cue of a termination for Good Reason.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the occurrence of any of the following events, without the consent of Executive, unless such events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fully corrected in all material respects by Cue within 30 days following written notification by Executive to Cue of the occurrence of one of the events:</w:t>
      </w:r>
    </w:p>
    <w:p>
      <w:pPr>
        <w:spacing w:after="0" w:line="176" w:lineRule="exact"/>
        <w:rPr>
          <w:sz w:val="20"/>
          <w:szCs w:val="20"/>
          <w:color w:val="auto"/>
        </w:rPr>
      </w:pPr>
    </w:p>
    <w:p>
      <w:pPr>
        <w:ind w:right="20" w:firstLine="1446"/>
        <w:spacing w:after="0" w:line="258" w:lineRule="auto"/>
        <w:rPr>
          <w:sz w:val="20"/>
          <w:szCs w:val="20"/>
          <w:color w:val="auto"/>
        </w:rPr>
      </w:pPr>
      <w:r>
        <w:rPr>
          <w:rFonts w:ascii="Times New Roman" w:cs="Times New Roman" w:eastAsia="Times New Roman" w:hAnsi="Times New Roman"/>
          <w:sz w:val="22"/>
          <w:szCs w:val="22"/>
          <w:color w:val="auto"/>
        </w:rPr>
        <w:t>(i)a material diminution in Executive’s Base Salary or Annual Bonus opportunity in a manner that is not applied proportionately to all other senior executive officers of the Company;</w:t>
      </w:r>
    </w:p>
    <w:p>
      <w:pPr>
        <w:spacing w:after="0" w:line="154" w:lineRule="exact"/>
        <w:rPr>
          <w:sz w:val="20"/>
          <w:szCs w:val="20"/>
          <w:color w:val="auto"/>
        </w:rPr>
      </w:pPr>
    </w:p>
    <w:p>
      <w:pPr>
        <w:ind w:right="20" w:firstLine="1446"/>
        <w:spacing w:after="0" w:line="262" w:lineRule="auto"/>
        <w:rPr>
          <w:sz w:val="20"/>
          <w:szCs w:val="20"/>
          <w:color w:val="auto"/>
        </w:rPr>
      </w:pPr>
      <w:r>
        <w:rPr>
          <w:rFonts w:ascii="Times New Roman" w:cs="Times New Roman" w:eastAsia="Times New Roman" w:hAnsi="Times New Roman"/>
          <w:sz w:val="22"/>
          <w:szCs w:val="22"/>
          <w:color w:val="auto"/>
        </w:rPr>
        <w:t xml:space="preserve">(ii)a material diminution in Executive’s authority, responsibilities or duties set forth in </w:t>
      </w:r>
      <w:r>
        <w:rPr>
          <w:rFonts w:ascii="Times New Roman" w:cs="Times New Roman" w:eastAsia="Times New Roman" w:hAnsi="Times New Roman"/>
          <w:sz w:val="22"/>
          <w:szCs w:val="22"/>
          <w:b w:val="1"/>
          <w:bCs w:val="1"/>
          <w:color w:val="auto"/>
        </w:rPr>
        <w:t>Section 1</w:t>
      </w:r>
      <w:r>
        <w:rPr>
          <w:rFonts w:ascii="Times New Roman" w:cs="Times New Roman" w:eastAsia="Times New Roman" w:hAnsi="Times New Roman"/>
          <w:sz w:val="22"/>
          <w:szCs w:val="22"/>
          <w:color w:val="auto"/>
        </w:rPr>
        <w:t xml:space="preserve"> above, other than temporarily while physically or mentally incapacitated, as required by applicable law;</w:t>
      </w:r>
    </w:p>
    <w:p>
      <w:pPr>
        <w:spacing w:after="0" w:line="15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(iii)a relocation of Executive’s primary work location by more than 50 miles from its then current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location;</w:t>
      </w:r>
    </w:p>
    <w:p>
      <w:pPr>
        <w:spacing w:after="0" w:line="182" w:lineRule="exact"/>
        <w:rPr>
          <w:sz w:val="20"/>
          <w:szCs w:val="20"/>
          <w:color w:val="auto"/>
        </w:rPr>
      </w:pPr>
    </w:p>
    <w:p>
      <w:pPr>
        <w:ind w:left="2240" w:hanging="740"/>
        <w:spacing w:after="0"/>
        <w:tabs>
          <w:tab w:leader="none" w:pos="22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requirement that Executive report to anyone other than the CEO or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 or</w:t>
      </w:r>
    </w:p>
    <w:p>
      <w:pPr>
        <w:spacing w:after="0" w:line="182" w:lineRule="exact"/>
        <w:rPr>
          <w:sz w:val="20"/>
          <w:szCs w:val="20"/>
          <w:color w:val="auto"/>
        </w:rPr>
      </w:pPr>
    </w:p>
    <w:p>
      <w:pPr>
        <w:ind w:left="2240" w:hanging="740"/>
        <w:spacing w:after="0"/>
        <w:tabs>
          <w:tab w:leader="none" w:pos="22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Cue of a material term of this Agreement.</w:t>
      </w:r>
    </w:p>
    <w:p>
      <w:pPr>
        <w:spacing w:after="0" w:line="206"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Executive shall provide Cue with a written notice detailing the specific circumstances alleged to constitute Good Reason within 30 days after the first occurrence of such circumstances, and actually terminate employment within 30 days following the expiration of Cue’s 30-day cure period described above (subject to the Company’s correction of the grounds for Good Reason within such cure period). Otherwise, any claim of such circumstances as Good Reason shall be deemed irrevocably waived by Executive.</w:t>
      </w:r>
    </w:p>
    <w:p>
      <w:pPr>
        <w:spacing w:after="0" w:line="173" w:lineRule="exact"/>
        <w:rPr>
          <w:sz w:val="20"/>
          <w:szCs w:val="20"/>
          <w:color w:val="auto"/>
        </w:rPr>
      </w:pPr>
    </w:p>
    <w:p>
      <w:pPr>
        <w:ind w:right="20" w:firstLine="725"/>
        <w:spacing w:after="0" w:line="262" w:lineRule="auto"/>
        <w:tabs>
          <w:tab w:leader="none" w:pos="111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WITHOUT CAUSE. </w:t>
      </w:r>
      <w:r>
        <w:rPr>
          <w:rFonts w:ascii="Times New Roman" w:cs="Times New Roman" w:eastAsia="Times New Roman" w:hAnsi="Times New Roman"/>
          <w:sz w:val="22"/>
          <w:szCs w:val="22"/>
          <w:color w:val="auto"/>
        </w:rPr>
        <w:t>Immediately upon written notice by Cue to Executive of an involuntary termination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Cause (other than for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1036955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164" w:name="page165"/>
    <w:bookmarkEnd w:id="164"/>
    <w:p>
      <w:pPr>
        <w:spacing w:after="0" w:line="86" w:lineRule="exact"/>
        <w:rPr>
          <w:sz w:val="20"/>
          <w:szCs w:val="20"/>
          <w:color w:val="auto"/>
        </w:rPr>
      </w:pPr>
    </w:p>
    <w:p>
      <w:pPr>
        <w:jc w:val="both"/>
        <w:ind w:firstLine="725"/>
        <w:spacing w:after="0" w:line="246" w:lineRule="auto"/>
        <w:tabs>
          <w:tab w:leader="none" w:pos="1113"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VOLUNTARY TERMINATION. </w:t>
      </w:r>
      <w:r>
        <w:rPr>
          <w:rFonts w:ascii="Times New Roman" w:cs="Times New Roman" w:eastAsia="Times New Roman" w:hAnsi="Times New Roman"/>
          <w:sz w:val="22"/>
          <w:szCs w:val="22"/>
          <w:color w:val="auto"/>
        </w:rPr>
        <w:t>Upon 60 days’ prior written notice by Executive to Cue of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voluntary termination of employment without Good Reason (which Cue may make effective earlier than any notice date).</w:t>
      </w:r>
    </w:p>
    <w:p>
      <w:pPr>
        <w:spacing w:after="0" w:line="167" w:lineRule="exact"/>
        <w:rPr>
          <w:rFonts w:ascii="Times New Roman" w:cs="Times New Roman" w:eastAsia="Times New Roman" w:hAnsi="Times New Roman"/>
          <w:sz w:val="22"/>
          <w:szCs w:val="22"/>
          <w:color w:val="auto"/>
        </w:rPr>
      </w:pPr>
    </w:p>
    <w:p>
      <w:pPr>
        <w:ind w:firstLine="725"/>
        <w:spacing w:after="0" w:line="262" w:lineRule="auto"/>
        <w:tabs>
          <w:tab w:leader="none" w:pos="1113"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EXPIRATION OF TERM</w:t>
      </w:r>
      <w:r>
        <w:rPr>
          <w:rFonts w:ascii="Times New Roman" w:cs="Times New Roman" w:eastAsia="Times New Roman" w:hAnsi="Times New Roman"/>
          <w:sz w:val="22"/>
          <w:szCs w:val="22"/>
          <w:color w:val="auto"/>
        </w:rPr>
        <w:t>. Immediately upon expiration of the Term as set forth in</w:t>
      </w:r>
      <w:r>
        <w:rPr>
          <w:rFonts w:ascii="Times New Roman" w:cs="Times New Roman" w:eastAsia="Times New Roman" w:hAnsi="Times New Roman"/>
          <w:sz w:val="22"/>
          <w:szCs w:val="22"/>
          <w:b w:val="1"/>
          <w:bCs w:val="1"/>
          <w:color w:val="auto"/>
        </w:rPr>
        <w:t xml:space="preserve"> Section 2 </w:t>
      </w:r>
      <w:r>
        <w:rPr>
          <w:rFonts w:ascii="Times New Roman" w:cs="Times New Roman" w:eastAsia="Times New Roman" w:hAnsi="Times New Roman"/>
          <w:sz w:val="22"/>
          <w:szCs w:val="22"/>
          <w:color w:val="auto"/>
        </w:rPr>
        <w:t>(unless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has been extended in writing by the Parties).</w:t>
      </w:r>
    </w:p>
    <w:p>
      <w:pPr>
        <w:spacing w:after="0" w:line="163" w:lineRule="exact"/>
        <w:rPr>
          <w:rFonts w:ascii="Times New Roman" w:cs="Times New Roman" w:eastAsia="Times New Roman" w:hAnsi="Times New Roman"/>
          <w:sz w:val="22"/>
          <w:szCs w:val="22"/>
          <w:color w:val="auto"/>
        </w:rPr>
      </w:pPr>
    </w:p>
    <w:p>
      <w:pPr>
        <w:ind w:left="760" w:hanging="758"/>
        <w:spacing w:after="0"/>
        <w:tabs>
          <w:tab w:leader="none" w:pos="76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CONSEQUENCES OF TERMINATION.</w:t>
      </w:r>
    </w:p>
    <w:p>
      <w:pPr>
        <w:spacing w:after="0" w:line="57" w:lineRule="exact"/>
        <w:rPr>
          <w:rFonts w:ascii="Times New Roman" w:cs="Times New Roman" w:eastAsia="Times New Roman" w:hAnsi="Times New Roman"/>
          <w:sz w:val="22"/>
          <w:szCs w:val="22"/>
          <w:b w:val="1"/>
          <w:bCs w:val="1"/>
          <w:color w:val="auto"/>
        </w:rPr>
      </w:pPr>
    </w:p>
    <w:p>
      <w:pPr>
        <w:jc w:val="both"/>
        <w:ind w:firstLine="725"/>
        <w:spacing w:after="0" w:line="241" w:lineRule="auto"/>
        <w:tabs>
          <w:tab w:leader="none" w:pos="1113"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DEATH/DISABILITY. </w:t>
      </w:r>
      <w:r>
        <w:rPr>
          <w:rFonts w:ascii="Times New Roman" w:cs="Times New Roman" w:eastAsia="Times New Roman" w:hAnsi="Times New Roman"/>
          <w:sz w:val="22"/>
          <w:szCs w:val="22"/>
          <w:color w:val="auto"/>
        </w:rPr>
        <w:t>In the event that Executive’s employment ends on account of Executive’s death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Disability, Executive or Executive’s estate, as the case may be, shall be entitled to the following (with the amounts due under </w:t>
      </w:r>
      <w:r>
        <w:rPr>
          <w:rFonts w:ascii="Times New Roman" w:cs="Times New Roman" w:eastAsia="Times New Roman" w:hAnsi="Times New Roman"/>
          <w:sz w:val="22"/>
          <w:szCs w:val="22"/>
          <w:b w:val="1"/>
          <w:bCs w:val="1"/>
          <w:color w:val="auto"/>
        </w:rPr>
        <w:t>Sections 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b w:val="1"/>
          <w:bCs w:val="1"/>
          <w:color w:val="auto"/>
        </w:rPr>
        <w:t>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below to be paid within 60 days following termination of employment, or such earlier date as may be required by applicable law):</w:t>
      </w:r>
    </w:p>
    <w:p>
      <w:pPr>
        <w:spacing w:after="0" w:line="176" w:lineRule="exact"/>
        <w:rPr>
          <w:sz w:val="20"/>
          <w:szCs w:val="20"/>
          <w:color w:val="auto"/>
        </w:rPr>
      </w:pPr>
    </w:p>
    <w:p>
      <w:pPr>
        <w:ind w:left="2240" w:hanging="740"/>
        <w:spacing w:after="0"/>
        <w:tabs>
          <w:tab w:leader="none" w:pos="224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unpaid Base Salary through the date of termination;</w:t>
      </w:r>
    </w:p>
    <w:p>
      <w:pPr>
        <w:spacing w:after="0" w:line="206" w:lineRule="exact"/>
        <w:rPr>
          <w:sz w:val="20"/>
          <w:szCs w:val="20"/>
          <w:color w:val="auto"/>
        </w:rPr>
      </w:pPr>
    </w:p>
    <w:p>
      <w:pPr>
        <w:jc w:val="both"/>
        <w:ind w:firstLine="1446"/>
        <w:spacing w:after="0" w:line="239" w:lineRule="auto"/>
        <w:rPr>
          <w:sz w:val="20"/>
          <w:szCs w:val="20"/>
          <w:color w:val="auto"/>
        </w:rPr>
      </w:pPr>
      <w:r>
        <w:rPr>
          <w:rFonts w:ascii="Times New Roman" w:cs="Times New Roman" w:eastAsia="Times New Roman" w:hAnsi="Times New Roman"/>
          <w:sz w:val="22"/>
          <w:szCs w:val="22"/>
          <w:color w:val="auto"/>
        </w:rPr>
        <w:t>(ii)any Annual Bonus for the year prior to the year in which such termination occurs that is earned but unpaid prior to the date of termination, to be paid pro-rata for the period of time from the start of the year to the date of termination from employment (or, if applicable, to the start of the Disability), paid when annual bonuses are paid to actively employed employees of Cue;</w:t>
      </w:r>
    </w:p>
    <w:p>
      <w:pPr>
        <w:spacing w:after="0" w:line="18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(iii) reimbursement for any unreimbursed business expenses incurred through the date of termination;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182" w:lineRule="exact"/>
        <w:rPr>
          <w:sz w:val="20"/>
          <w:szCs w:val="20"/>
          <w:color w:val="auto"/>
        </w:rPr>
      </w:pPr>
    </w:p>
    <w:p>
      <w:pPr>
        <w:jc w:val="both"/>
        <w:ind w:firstLine="1448"/>
        <w:spacing w:after="0" w:line="244" w:lineRule="auto"/>
        <w:tabs>
          <w:tab w:leader="none" w:pos="1812"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other payments, benefits or fringe benefits to which Executive shall be entitled under the terms of any applicable compensation arrangement or benefit, equity or fringe benefit plan or program or grant (collectively, </w:t>
      </w:r>
      <w:r>
        <w:rPr>
          <w:rFonts w:ascii="Times New Roman" w:cs="Times New Roman" w:eastAsia="Times New Roman" w:hAnsi="Times New Roman"/>
          <w:sz w:val="22"/>
          <w:szCs w:val="22"/>
          <w:b w:val="1"/>
          <w:bCs w:val="1"/>
          <w:color w:val="auto"/>
        </w:rPr>
        <w:t>Sections 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2"/>
          <w:szCs w:val="22"/>
          <w:color w:val="auto"/>
        </w:rPr>
        <w:t>) through</w:t>
      </w:r>
      <w:r>
        <w:rPr>
          <w:rFonts w:ascii="Times New Roman" w:cs="Times New Roman" w:eastAsia="Times New Roman" w:hAnsi="Times New Roman"/>
          <w:sz w:val="22"/>
          <w:szCs w:val="22"/>
          <w:b w:val="1"/>
          <w:bCs w:val="1"/>
          <w:color w:val="auto"/>
        </w:rPr>
        <w:t xml:space="preserve"> 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22"/>
          <w:szCs w:val="22"/>
          <w:color w:val="auto"/>
        </w:rPr>
        <w:t>) hereof shall be hereafter referred to as the “</w:t>
      </w:r>
      <w:r>
        <w:rPr>
          <w:rFonts w:ascii="Times New Roman" w:cs="Times New Roman" w:eastAsia="Times New Roman" w:hAnsi="Times New Roman"/>
          <w:sz w:val="22"/>
          <w:szCs w:val="22"/>
          <w:b w:val="1"/>
          <w:bCs w:val="1"/>
          <w:color w:val="auto"/>
        </w:rPr>
        <w:t>Accrued Benefits</w:t>
      </w:r>
      <w:r>
        <w:rPr>
          <w:rFonts w:ascii="Times New Roman" w:cs="Times New Roman" w:eastAsia="Times New Roman" w:hAnsi="Times New Roman"/>
          <w:sz w:val="22"/>
          <w:szCs w:val="22"/>
          <w:color w:val="auto"/>
        </w:rPr>
        <w:t>”).</w:t>
      </w:r>
    </w:p>
    <w:p>
      <w:pPr>
        <w:spacing w:after="0" w:line="169" w:lineRule="exact"/>
        <w:rPr>
          <w:rFonts w:ascii="Times New Roman" w:cs="Times New Roman" w:eastAsia="Times New Roman" w:hAnsi="Times New Roman"/>
          <w:sz w:val="22"/>
          <w:szCs w:val="22"/>
          <w:color w:val="auto"/>
        </w:rPr>
      </w:pPr>
    </w:p>
    <w:p>
      <w:pPr>
        <w:ind w:left="1500" w:hanging="749"/>
        <w:spacing w:after="0"/>
        <w:tabs>
          <w:tab w:leader="none" w:pos="15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FOR CAUSE; UPON RESIGNATION WITHOUT GOOD</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REASON; UPON EXPIRATION OF TERM</w:t>
      </w:r>
      <w:r>
        <w:rPr>
          <w:rFonts w:ascii="Times New Roman" w:cs="Times New Roman" w:eastAsia="Times New Roman" w:hAnsi="Times New Roman"/>
          <w:sz w:val="22"/>
          <w:szCs w:val="22"/>
          <w:color w:val="auto"/>
        </w:rPr>
        <w:t>. If Executive’s employment is terminated (i) by Cue for Cause; (ii)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without Good Reason; or upon expiration of the Term, Cue shall pay to Executive within 60 days following termination of employment, or such earlier date as may be required by applicable law:</w:t>
      </w:r>
    </w:p>
    <w:p>
      <w:pPr>
        <w:spacing w:after="0" w:line="178" w:lineRule="exact"/>
        <w:rPr>
          <w:sz w:val="20"/>
          <w:szCs w:val="20"/>
          <w:color w:val="auto"/>
        </w:rPr>
      </w:pPr>
    </w:p>
    <w:p>
      <w:pPr>
        <w:ind w:left="2240" w:hanging="740"/>
        <w:spacing w:after="0"/>
        <w:tabs>
          <w:tab w:leader="none" w:pos="22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unpaid Base Salary through the date of termination;</w:t>
      </w:r>
    </w:p>
    <w:p>
      <w:pPr>
        <w:spacing w:after="0" w:line="20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(ii)reimbursement for any unreimbursed business expenses incurred through the date of termination; and</w:t>
      </w:r>
    </w:p>
    <w:p>
      <w:pPr>
        <w:spacing w:after="0" w:line="218" w:lineRule="exact"/>
        <w:rPr>
          <w:sz w:val="20"/>
          <w:szCs w:val="20"/>
          <w:color w:val="auto"/>
        </w:rPr>
      </w:pPr>
    </w:p>
    <w:p>
      <w:pPr>
        <w:ind w:firstLine="1448"/>
        <w:spacing w:after="0" w:line="258" w:lineRule="auto"/>
        <w:tabs>
          <w:tab w:leader="none" w:pos="182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payments, benefits or fringe benefits to which Executive shall be entitled under the terms of any applicable compensation arrangement or benefit, equity or fringe benefit plan or program or grant.</w:t>
      </w:r>
    </w:p>
    <w:p>
      <w:pPr>
        <w:spacing w:after="0" w:line="167" w:lineRule="exact"/>
        <w:rPr>
          <w:rFonts w:ascii="Times New Roman" w:cs="Times New Roman" w:eastAsia="Times New Roman" w:hAnsi="Times New Roman"/>
          <w:sz w:val="22"/>
          <w:szCs w:val="22"/>
          <w:color w:val="auto"/>
        </w:rPr>
      </w:pPr>
    </w:p>
    <w:p>
      <w:pPr>
        <w:ind w:left="1500" w:hanging="749"/>
        <w:spacing w:after="0"/>
        <w:tabs>
          <w:tab w:leader="none" w:pos="15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WITHOUT CAUSE OR RESIGNATION FOR GOOD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REASON</w:t>
      </w:r>
      <w:r>
        <w:rPr>
          <w:rFonts w:ascii="Times New Roman" w:cs="Times New Roman" w:eastAsia="Times New Roman" w:hAnsi="Times New Roman"/>
          <w:sz w:val="22"/>
          <w:szCs w:val="22"/>
          <w:color w:val="auto"/>
        </w:rPr>
        <w:t>. If Executive’s employment by Cue is terminated by Cue other than (i) for Cause,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1045845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165" w:name="page166"/>
    <w:bookmarkEnd w:id="165"/>
    <w:p>
      <w:pPr>
        <w:ind w:right="20"/>
        <w:spacing w:after="0" w:line="258" w:lineRule="auto"/>
        <w:rPr>
          <w:sz w:val="20"/>
          <w:szCs w:val="20"/>
          <w:color w:val="auto"/>
        </w:rPr>
      </w:pPr>
      <w:r>
        <w:rPr>
          <w:rFonts w:ascii="Times New Roman" w:cs="Times New Roman" w:eastAsia="Times New Roman" w:hAnsi="Times New Roman"/>
          <w:sz w:val="22"/>
          <w:szCs w:val="22"/>
          <w:color w:val="auto"/>
        </w:rPr>
        <w:t>for Executive’s death or Disability, (iii) by Executive for Good Reason, or (iv) upon expiration of the Term, Cue shall pay or provide Executive the following:</w:t>
      </w:r>
    </w:p>
    <w:p>
      <w:pPr>
        <w:spacing w:after="0" w:line="158" w:lineRule="exact"/>
        <w:rPr>
          <w:sz w:val="20"/>
          <w:szCs w:val="20"/>
          <w:color w:val="auto"/>
        </w:rPr>
      </w:pPr>
    </w:p>
    <w:p>
      <w:pPr>
        <w:ind w:left="2240" w:hanging="740"/>
        <w:spacing w:after="0"/>
        <w:tabs>
          <w:tab w:leader="none" w:pos="224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Benefits;</w:t>
      </w:r>
    </w:p>
    <w:p>
      <w:pPr>
        <w:spacing w:after="0" w:line="202" w:lineRule="exact"/>
        <w:rPr>
          <w:sz w:val="20"/>
          <w:szCs w:val="20"/>
          <w:color w:val="auto"/>
        </w:rPr>
      </w:pPr>
    </w:p>
    <w:p>
      <w:pPr>
        <w:jc w:val="both"/>
        <w:ind w:right="20" w:firstLine="1446"/>
        <w:spacing w:after="0" w:line="236" w:lineRule="auto"/>
        <w:rPr>
          <w:sz w:val="20"/>
          <w:szCs w:val="20"/>
          <w:color w:val="auto"/>
        </w:rPr>
      </w:pPr>
      <w:r>
        <w:rPr>
          <w:rFonts w:ascii="Times New Roman" w:cs="Times New Roman" w:eastAsia="Times New Roman" w:hAnsi="Times New Roman"/>
          <w:sz w:val="22"/>
          <w:szCs w:val="22"/>
          <w:color w:val="auto"/>
        </w:rPr>
        <w:t xml:space="preserve">(ii)subject to Executive’s compliance with </w:t>
      </w:r>
      <w:r>
        <w:rPr>
          <w:rFonts w:ascii="Times New Roman" w:cs="Times New Roman" w:eastAsia="Times New Roman" w:hAnsi="Times New Roman"/>
          <w:sz w:val="22"/>
          <w:szCs w:val="22"/>
          <w:b w:val="1"/>
          <w:bCs w:val="1"/>
          <w:color w:val="auto"/>
        </w:rPr>
        <w:t>Section 9</w:t>
      </w:r>
      <w:r>
        <w:rPr>
          <w:rFonts w:ascii="Times New Roman" w:cs="Times New Roman" w:eastAsia="Times New Roman" w:hAnsi="Times New Roman"/>
          <w:sz w:val="22"/>
          <w:szCs w:val="22"/>
          <w:color w:val="auto"/>
        </w:rPr>
        <w:t xml:space="preserve"> below and Executive’s continued compliance with </w:t>
      </w:r>
      <w:r>
        <w:rPr>
          <w:rFonts w:ascii="Times New Roman" w:cs="Times New Roman" w:eastAsia="Times New Roman" w:hAnsi="Times New Roman"/>
          <w:sz w:val="22"/>
          <w:szCs w:val="22"/>
          <w:b w:val="1"/>
          <w:bCs w:val="1"/>
          <w:color w:val="auto"/>
        </w:rPr>
        <w:t xml:space="preserve">Section 10 </w:t>
      </w:r>
      <w:r>
        <w:rPr>
          <w:rFonts w:ascii="Times New Roman" w:cs="Times New Roman" w:eastAsia="Times New Roman" w:hAnsi="Times New Roman"/>
          <w:sz w:val="22"/>
          <w:szCs w:val="22"/>
          <w:color w:val="auto"/>
        </w:rPr>
        <w:t>below, and subject to</w:t>
      </w:r>
      <w:r>
        <w:rPr>
          <w:rFonts w:ascii="Times New Roman" w:cs="Times New Roman" w:eastAsia="Times New Roman" w:hAnsi="Times New Roman"/>
          <w:sz w:val="22"/>
          <w:szCs w:val="22"/>
          <w:b w:val="1"/>
          <w:bCs w:val="1"/>
          <w:color w:val="auto"/>
        </w:rPr>
        <w:t xml:space="preserve"> Section 20</w:t>
      </w:r>
      <w:r>
        <w:rPr>
          <w:rFonts w:ascii="Times New Roman" w:cs="Times New Roman" w:eastAsia="Times New Roman" w:hAnsi="Times New Roman"/>
          <w:sz w:val="22"/>
          <w:szCs w:val="22"/>
          <w:color w:val="auto"/>
        </w:rPr>
        <w:t>, a lump sum cash severance payment in an amount equal to the sum of (1)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lesser of (A) nine months of Base Salary and (B) the Base Salary that Executive would have received had he remained employed for the remainder of the Term, plus (2) the target Annual Bonus for the year of termination, prorated based on the number of days that Executive is employed in such year through the date of termination, with such lump sum payable on the first payroll date of Cue that occurs more than 60 days after Executive’s termination or resignation (collectively, the “</w:t>
      </w:r>
      <w:r>
        <w:rPr>
          <w:rFonts w:ascii="Times New Roman" w:cs="Times New Roman" w:eastAsia="Times New Roman" w:hAnsi="Times New Roman"/>
          <w:sz w:val="22"/>
          <w:szCs w:val="22"/>
          <w:b w:val="1"/>
          <w:bCs w:val="1"/>
          <w:color w:val="auto"/>
        </w:rPr>
        <w:t>Severance Amount</w:t>
      </w:r>
      <w:r>
        <w:rPr>
          <w:rFonts w:ascii="Times New Roman" w:cs="Times New Roman" w:eastAsia="Times New Roman" w:hAnsi="Times New Roman"/>
          <w:sz w:val="22"/>
          <w:szCs w:val="22"/>
          <w:color w:val="auto"/>
        </w:rPr>
        <w:t>”); and; and</w:t>
      </w:r>
    </w:p>
    <w:p>
      <w:pPr>
        <w:spacing w:after="0" w:line="176" w:lineRule="exact"/>
        <w:rPr>
          <w:sz w:val="20"/>
          <w:szCs w:val="20"/>
          <w:color w:val="auto"/>
        </w:rPr>
      </w:pPr>
    </w:p>
    <w:p>
      <w:pPr>
        <w:jc w:val="both"/>
        <w:ind w:right="20" w:firstLine="1446"/>
        <w:spacing w:after="0" w:line="236" w:lineRule="auto"/>
        <w:rPr>
          <w:sz w:val="20"/>
          <w:szCs w:val="20"/>
          <w:color w:val="auto"/>
        </w:rPr>
      </w:pPr>
      <w:r>
        <w:rPr>
          <w:rFonts w:ascii="Times New Roman" w:cs="Times New Roman" w:eastAsia="Times New Roman" w:hAnsi="Times New Roman"/>
          <w:sz w:val="22"/>
          <w:szCs w:val="22"/>
          <w:color w:val="auto"/>
        </w:rPr>
        <w:t xml:space="preserve">(iii)subject to Executive’s compliance with </w:t>
      </w:r>
      <w:r>
        <w:rPr>
          <w:rFonts w:ascii="Times New Roman" w:cs="Times New Roman" w:eastAsia="Times New Roman" w:hAnsi="Times New Roman"/>
          <w:sz w:val="22"/>
          <w:szCs w:val="22"/>
          <w:b w:val="1"/>
          <w:bCs w:val="1"/>
          <w:color w:val="auto"/>
        </w:rPr>
        <w:t>Section 9</w:t>
      </w:r>
      <w:r>
        <w:rPr>
          <w:rFonts w:ascii="Times New Roman" w:cs="Times New Roman" w:eastAsia="Times New Roman" w:hAnsi="Times New Roman"/>
          <w:sz w:val="22"/>
          <w:szCs w:val="22"/>
          <w:color w:val="auto"/>
        </w:rPr>
        <w:t xml:space="preserve"> below and Executive’s continued compliance with </w:t>
      </w:r>
      <w:r>
        <w:rPr>
          <w:rFonts w:ascii="Times New Roman" w:cs="Times New Roman" w:eastAsia="Times New Roman" w:hAnsi="Times New Roman"/>
          <w:sz w:val="22"/>
          <w:szCs w:val="22"/>
          <w:b w:val="1"/>
          <w:bCs w:val="1"/>
          <w:color w:val="auto"/>
        </w:rPr>
        <w:t xml:space="preserve">Section 10 </w:t>
      </w:r>
      <w:r>
        <w:rPr>
          <w:rFonts w:ascii="Times New Roman" w:cs="Times New Roman" w:eastAsia="Times New Roman" w:hAnsi="Times New Roman"/>
          <w:sz w:val="22"/>
          <w:szCs w:val="22"/>
          <w:color w:val="auto"/>
        </w:rPr>
        <w:t>below, if Executive elects COBRA coverage for health and/or dental insurance in a timely maimer,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shall pay the monthly premium payments for such timely elected coverage (consistent with what was in place at termination) when each premium is due until the earliest of the following: (i) three months from termination; (ii) the expiration of the Term; (iii) the date Executive obtains new employment that offers health and/or dental insurance that is reasonably comparable to that offered by the Company; or (iv) the date COBRA continuation coverage would otherwise terminate in accordance with the provisions of COBRA.</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Payments and benefits provided under this </w:t>
      </w: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shall be in lieu of any termination or severance payments or benefits to which Executive may be eligible under any of the plans, policies or programs of Cue or any similar state statute or regulation. Should Executive die prior to the payment of the Severance Amount, the Severance Amount shall be paid to the heirs or estate of Executive in accordance with the schedule set forth herein.</w:t>
      </w:r>
    </w:p>
    <w:p>
      <w:pPr>
        <w:spacing w:after="0" w:line="172" w:lineRule="exact"/>
        <w:rPr>
          <w:sz w:val="20"/>
          <w:szCs w:val="20"/>
          <w:color w:val="auto"/>
        </w:rPr>
      </w:pPr>
    </w:p>
    <w:p>
      <w:pPr>
        <w:jc w:val="both"/>
        <w:ind w:right="20" w:firstLine="725"/>
        <w:spacing w:after="0" w:line="237" w:lineRule="auto"/>
        <w:tabs>
          <w:tab w:leader="none" w:pos="111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OTHER OBLIGATIONS. </w:t>
      </w:r>
      <w:r>
        <w:rPr>
          <w:rFonts w:ascii="Times New Roman" w:cs="Times New Roman" w:eastAsia="Times New Roman" w:hAnsi="Times New Roman"/>
          <w:sz w:val="22"/>
          <w:szCs w:val="22"/>
          <w:color w:val="auto"/>
        </w:rPr>
        <w:t>Upon any termination of Executive’s employment with Cue, Executive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automatically be deemed to have resigned from any and all other positions the Executive then holds as an officer, director or fiduciary of Cue and any other entity that is part of the same consolidated group as Cue or in which capacity Executive serves at the direction of or as a result of Executive’s position with Cue; and Executive shall, within 10 days of such termination, take all actions as may be necessary under applicable law or requested by Cue to effect any such resignations.</w:t>
      </w:r>
    </w:p>
    <w:p>
      <w:pPr>
        <w:spacing w:after="0" w:line="175" w:lineRule="exact"/>
        <w:rPr>
          <w:rFonts w:ascii="Times New Roman" w:cs="Times New Roman" w:eastAsia="Times New Roman" w:hAnsi="Times New Roman"/>
          <w:sz w:val="22"/>
          <w:szCs w:val="22"/>
          <w:color w:val="auto"/>
        </w:rPr>
      </w:pPr>
    </w:p>
    <w:p>
      <w:pPr>
        <w:jc w:val="both"/>
        <w:ind w:right="20" w:firstLine="725"/>
        <w:spacing w:after="0" w:line="237" w:lineRule="auto"/>
        <w:tabs>
          <w:tab w:leader="none" w:pos="111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EXCLUSIVE REMEDY. </w:t>
      </w:r>
      <w:r>
        <w:rPr>
          <w:rFonts w:ascii="Times New Roman" w:cs="Times New Roman" w:eastAsia="Times New Roman" w:hAnsi="Times New Roman"/>
          <w:sz w:val="22"/>
          <w:szCs w:val="22"/>
          <w:color w:val="auto"/>
        </w:rPr>
        <w:t>The amounts payable to Executive following termination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hereunder pursuant to </w:t>
      </w:r>
      <w:r>
        <w:rPr>
          <w:rFonts w:ascii="Times New Roman" w:cs="Times New Roman" w:eastAsia="Times New Roman" w:hAnsi="Times New Roman"/>
          <w:sz w:val="22"/>
          <w:szCs w:val="22"/>
          <w:b w:val="1"/>
          <w:bCs w:val="1"/>
          <w:color w:val="auto"/>
        </w:rPr>
        <w:t>Sections 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2"/>
          <w:szCs w:val="22"/>
          <w:color w:val="auto"/>
        </w:rPr>
        <w:t>) above shall be in full and complete satisfaction of Executive’s rights under this Agreement and any other claims that Executive may have in respect of Executive’s employment with Cue or any of its Affiliates, and Executive acknowledges that such amounts are fair and reasonable, and are Executive’s sole and exclusive remedy, in lieu of all other remedies at law or in equity, with respect to the termination of Executive’s employment hereunder or any breach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1052830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314" w:right="699" w:bottom="1440" w:gutter="0" w:footer="0" w:header="0"/>
        </w:sectPr>
      </w:pPr>
    </w:p>
    <w:bookmarkStart w:id="166" w:name="page167"/>
    <w:bookmarkEnd w:id="166"/>
    <w:p>
      <w:pPr>
        <w:spacing w:after="0" w:line="86" w:lineRule="exact"/>
        <w:rPr>
          <w:sz w:val="20"/>
          <w:szCs w:val="20"/>
          <w:color w:val="auto"/>
        </w:rPr>
      </w:pPr>
    </w:p>
    <w:p>
      <w:pPr>
        <w:jc w:val="both"/>
        <w:ind w:firstLine="725"/>
        <w:spacing w:after="0" w:line="263" w:lineRule="auto"/>
        <w:tabs>
          <w:tab w:leader="none" w:pos="1113"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 MITIGATION OR OFFSET. </w:t>
      </w:r>
      <w:r>
        <w:rPr>
          <w:rFonts w:ascii="Times New Roman" w:cs="Times New Roman" w:eastAsia="Times New Roman" w:hAnsi="Times New Roman"/>
          <w:sz w:val="21"/>
          <w:szCs w:val="21"/>
          <w:color w:val="auto"/>
        </w:rPr>
        <w:t>Executive shall not be required to seek or accept other employment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otherwise to mitigate damages as a condition to the receipt of benefits pursuant to this </w:t>
      </w:r>
      <w:r>
        <w:rPr>
          <w:rFonts w:ascii="Times New Roman" w:cs="Times New Roman" w:eastAsia="Times New Roman" w:hAnsi="Times New Roman"/>
          <w:sz w:val="21"/>
          <w:szCs w:val="21"/>
          <w:b w:val="1"/>
          <w:bCs w:val="1"/>
          <w:color w:val="auto"/>
        </w:rPr>
        <w:t>Section 8,</w:t>
      </w:r>
      <w:r>
        <w:rPr>
          <w:rFonts w:ascii="Times New Roman" w:cs="Times New Roman" w:eastAsia="Times New Roman" w:hAnsi="Times New Roman"/>
          <w:sz w:val="21"/>
          <w:szCs w:val="21"/>
          <w:color w:val="auto"/>
        </w:rPr>
        <w:t xml:space="preserve"> and amounts payable pursuant to this </w:t>
      </w:r>
      <w:r>
        <w:rPr>
          <w:rFonts w:ascii="Times New Roman" w:cs="Times New Roman" w:eastAsia="Times New Roman" w:hAnsi="Times New Roman"/>
          <w:sz w:val="21"/>
          <w:szCs w:val="21"/>
          <w:b w:val="1"/>
          <w:bCs w:val="1"/>
          <w:color w:val="auto"/>
        </w:rPr>
        <w:t>Section 8</w:t>
      </w:r>
      <w:r>
        <w:rPr>
          <w:rFonts w:ascii="Times New Roman" w:cs="Times New Roman" w:eastAsia="Times New Roman" w:hAnsi="Times New Roman"/>
          <w:sz w:val="21"/>
          <w:szCs w:val="21"/>
          <w:color w:val="auto"/>
        </w:rPr>
        <w:t xml:space="preserve"> shall not be offset or reduced by any amounts received by Executive from other sources.</w:t>
      </w:r>
    </w:p>
    <w:p>
      <w:pPr>
        <w:spacing w:after="0" w:line="151" w:lineRule="exact"/>
        <w:rPr>
          <w:rFonts w:ascii="Times New Roman" w:cs="Times New Roman" w:eastAsia="Times New Roman" w:hAnsi="Times New Roman"/>
          <w:sz w:val="21"/>
          <w:szCs w:val="21"/>
          <w:color w:val="auto"/>
        </w:rPr>
      </w:pPr>
    </w:p>
    <w:p>
      <w:pPr>
        <w:ind w:firstLine="725"/>
        <w:spacing w:after="0" w:line="262" w:lineRule="auto"/>
        <w:tabs>
          <w:tab w:leader="none" w:pos="111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WAIVER OF ERISA-RELATED RIGHTS. </w:t>
      </w:r>
      <w:r>
        <w:rPr>
          <w:rFonts w:ascii="Times New Roman" w:cs="Times New Roman" w:eastAsia="Times New Roman" w:hAnsi="Times New Roman"/>
          <w:sz w:val="22"/>
          <w:szCs w:val="22"/>
          <w:color w:val="auto"/>
        </w:rPr>
        <w:t>Nothing in this Agreement shall be construed to be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waiver by Executive of any benefits accrued for or due to Executive</w:t>
      </w:r>
    </w:p>
    <w:p>
      <w:pPr>
        <w:spacing w:after="0" w:line="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under any employee benefit plan (as such term is defined in the Employee Retirement Income Security Act of 1974, as amended) maintained by Cue, if any, except that Executive shall not be entitled to any severance benefits pursuant to any severance plan or program of Cue other than as provided herein.</w:t>
      </w:r>
    </w:p>
    <w:p>
      <w:pPr>
        <w:spacing w:after="0" w:line="169" w:lineRule="exact"/>
        <w:rPr>
          <w:sz w:val="20"/>
          <w:szCs w:val="20"/>
          <w:color w:val="auto"/>
        </w:rPr>
      </w:pPr>
    </w:p>
    <w:p>
      <w:pPr>
        <w:jc w:val="both"/>
        <w:ind w:firstLine="725"/>
        <w:spacing w:after="0" w:line="237" w:lineRule="auto"/>
        <w:tabs>
          <w:tab w:leader="none" w:pos="111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CLAWBACK. </w:t>
      </w:r>
      <w:r>
        <w:rPr>
          <w:rFonts w:ascii="Times New Roman" w:cs="Times New Roman" w:eastAsia="Times New Roman" w:hAnsi="Times New Roman"/>
          <w:sz w:val="22"/>
          <w:szCs w:val="22"/>
          <w:color w:val="auto"/>
        </w:rPr>
        <w:t>All awards, amounts or benefits received or outstanding under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clawback, cancellation, recoupment, rescission, payback, reduction or other similar action in accordance with the terms of any applicable law related to such actions, as may be in effect from time to time. Cue may take such actions as may be necessary to effectuate any provision of applicable law relating to clawback, cancellation, recoupment, rescission, payback or reduction of compensation, whether adopted before or after the Effective Date, without further consideration or action.</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9.RELEASE. </w:t>
      </w:r>
      <w:r>
        <w:rPr>
          <w:rFonts w:ascii="Times New Roman" w:cs="Times New Roman" w:eastAsia="Times New Roman" w:hAnsi="Times New Roman"/>
          <w:sz w:val="22"/>
          <w:szCs w:val="22"/>
          <w:color w:val="auto"/>
        </w:rPr>
        <w:t>Any and all amounts payable and benefits or additional rights, beyond the Accrued Benefits,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this Agreement following termination from employment shall only be payable if Executive delivers to Cue and does not revoke a general release of claims in favor of Cue in a form to be provided by Cue (which will include, at a minimum, a release of all releasable claims, non-disparagement and cooperation obligations, reaffirmation of Executive’s continuing obligations under this Agreement or the Non-Competition Agreement, and an agreement not to compete with the Company for twelve (12) months following Executive’s separation from employment). Such release shall be furnished to Executive within two business days after Executive’s date of termination, and must become irrevocable within 60 days following termination (or such shorter period as requested by Cue).</w:t>
      </w:r>
    </w:p>
    <w:p>
      <w:pPr>
        <w:spacing w:after="0" w:line="178" w:lineRule="exact"/>
        <w:rPr>
          <w:sz w:val="20"/>
          <w:szCs w:val="20"/>
          <w:color w:val="auto"/>
        </w:rPr>
      </w:pPr>
    </w:p>
    <w:p>
      <w:pPr>
        <w:ind w:left="760" w:hanging="758"/>
        <w:spacing w:after="0"/>
        <w:tabs>
          <w:tab w:leader="none" w:pos="76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p>
    <w:p>
      <w:pPr>
        <w:spacing w:after="0" w:line="206" w:lineRule="exact"/>
        <w:rPr>
          <w:sz w:val="20"/>
          <w:szCs w:val="20"/>
          <w:color w:val="auto"/>
        </w:rPr>
      </w:pPr>
    </w:p>
    <w:p>
      <w:pPr>
        <w:ind w:left="1500" w:hanging="749"/>
        <w:spacing w:after="0"/>
        <w:tabs>
          <w:tab w:leader="none" w:pos="15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46"/>
        <w:spacing w:after="0" w:line="247" w:lineRule="auto"/>
        <w:rPr>
          <w:sz w:val="20"/>
          <w:szCs w:val="20"/>
          <w:color w:val="auto"/>
        </w:rPr>
      </w:pPr>
      <w:r>
        <w:rPr>
          <w:rFonts w:ascii="Times New Roman" w:cs="Times New Roman" w:eastAsia="Times New Roman" w:hAnsi="Times New Roman"/>
          <w:sz w:val="21"/>
          <w:szCs w:val="21"/>
          <w:color w:val="auto"/>
        </w:rPr>
        <w:t>(i)</w:t>
      </w:r>
      <w:r>
        <w:rPr>
          <w:rFonts w:ascii="Times New Roman" w:cs="Times New Roman" w:eastAsia="Times New Roman" w:hAnsi="Times New Roman"/>
          <w:sz w:val="21"/>
          <w:szCs w:val="21"/>
          <w:b w:val="1"/>
          <w:bCs w:val="1"/>
          <w:color w:val="auto"/>
        </w:rPr>
        <w:t>COMPANY INFORMATION.</w:t>
      </w:r>
      <w:r>
        <w:rPr>
          <w:rFonts w:ascii="Times New Roman" w:cs="Times New Roman" w:eastAsia="Times New Roman" w:hAnsi="Times New Roman"/>
          <w:sz w:val="21"/>
          <w:szCs w:val="21"/>
          <w:color w:val="auto"/>
        </w:rPr>
        <w:t xml:space="preserve"> At all times during the Term and thereafter, Executive shall hold in strictest confidence, and shall not use, except in connection with the performance of Executive’s duties, and shall not disclose to any person or entity, any Confidential Information of Cue.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means any Cue proprietary or confidential information, technical data, trade secrets or know-how, including research, product plans, products, services, customer lists and customers, markets, software, developments, inventions, processes, formulas, technology, designs, drawings, engineering, marketing, distribution and sales methods and systems, sales and profit figures, finances and other business information disclosed to Executive by Cue, either directly or indirectly in writing, orally or by drawings or inspection of documents or other tangible property. However, Confidential Information does not include any of the foregoing items which has become publicly known and made generally available through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1047115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167" w:name="page168"/>
    <w:bookmarkEnd w:id="167"/>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wrongful act of Executive.</w:t>
      </w:r>
    </w:p>
    <w:p>
      <w:pPr>
        <w:spacing w:after="0" w:line="202" w:lineRule="exact"/>
        <w:rPr>
          <w:sz w:val="20"/>
          <w:szCs w:val="20"/>
          <w:color w:val="auto"/>
        </w:rPr>
      </w:pPr>
    </w:p>
    <w:p>
      <w:pPr>
        <w:ind w:left="2240" w:hanging="740"/>
        <w:spacing w:after="0"/>
        <w:tabs>
          <w:tab w:leader="none" w:pos="224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EXECUTIVE-RESTRICTED INFORMATION.   </w:t>
      </w:r>
      <w:r>
        <w:rPr>
          <w:rFonts w:ascii="Times New Roman" w:cs="Times New Roman" w:eastAsia="Times New Roman" w:hAnsi="Times New Roman"/>
          <w:sz w:val="22"/>
          <w:szCs w:val="22"/>
          <w:color w:val="auto"/>
        </w:rPr>
        <w:t>During the Term,</w:t>
      </w:r>
    </w:p>
    <w:p>
      <w:pPr>
        <w:spacing w:after="0" w:line="1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Executive shall not improperly use or disclose any proprietary or confidential information or trade secrets of any person or entity with whom Executive has an agreement or duty to keep such information or secrets confidential.</w:t>
      </w:r>
    </w:p>
    <w:p>
      <w:pPr>
        <w:spacing w:after="0" w:line="39" w:lineRule="exact"/>
        <w:rPr>
          <w:sz w:val="20"/>
          <w:szCs w:val="20"/>
          <w:color w:val="auto"/>
        </w:rPr>
      </w:pPr>
    </w:p>
    <w:p>
      <w:pPr>
        <w:jc w:val="both"/>
        <w:ind w:right="20" w:firstLine="1448"/>
        <w:spacing w:after="0" w:line="235" w:lineRule="auto"/>
        <w:tabs>
          <w:tab w:leader="none" w:pos="1834"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THIRD PARTY INFORMATION. </w:t>
      </w:r>
      <w:r>
        <w:rPr>
          <w:rFonts w:ascii="Times New Roman" w:cs="Times New Roman" w:eastAsia="Times New Roman" w:hAnsi="Times New Roman"/>
          <w:sz w:val="22"/>
          <w:szCs w:val="22"/>
          <w:color w:val="auto"/>
        </w:rPr>
        <w:t>Executive recognizes that Cue has received and in the future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receive from third parties their confidential or proprietary information subject to a duty on Cue’s part to maintain the confidentiality of such information and to use it only for certain limited purposes. At all times during the Term and thereafter, Executive shall hold in strictest confidence, and shall not use, except in connection with the Performance of Executive’s duties, and shall not disclose to any person or entity except in connection with the Performance of Executive’s duties and consistent with Cue’s agreement with such third party, such third party confidential or proprietary information, and shall not use it except as necessary in performing Executive’s duties, consistent with Cue’s agreement with such third party.</w:t>
      </w:r>
    </w:p>
    <w:p>
      <w:pPr>
        <w:spacing w:after="0" w:line="178" w:lineRule="exact"/>
        <w:rPr>
          <w:rFonts w:ascii="Times New Roman" w:cs="Times New Roman" w:eastAsia="Times New Roman" w:hAnsi="Times New Roman"/>
          <w:sz w:val="22"/>
          <w:szCs w:val="22"/>
          <w:color w:val="auto"/>
        </w:rPr>
      </w:pPr>
    </w:p>
    <w:p>
      <w:pPr>
        <w:ind w:left="1500" w:hanging="749"/>
        <w:spacing w:after="0"/>
        <w:tabs>
          <w:tab w:leader="none" w:pos="15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CONFIDENTIAL INFORMATION, INVENTION ASSIGNMENT AND</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NONSOLICITATION</w:t>
      </w:r>
      <w:r>
        <w:rPr>
          <w:rFonts w:ascii="Times New Roman" w:cs="Times New Roman" w:eastAsia="Times New Roman" w:hAnsi="Times New Roman"/>
          <w:sz w:val="22"/>
          <w:szCs w:val="22"/>
          <w:color w:val="auto"/>
        </w:rPr>
        <w:t>. Executive acknowledges and agrees that his employment with the Company is contingent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his signing and adhering to the Employee Confidential Information, Invention Assignment, And Non-Solicitation Agreement in the form attached as </w:t>
      </w: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 xml:space="preserve">. Executive expressly acknowledges that Executive’s eligibility for the Option set forth in </w:t>
      </w:r>
      <w:r>
        <w:rPr>
          <w:rFonts w:ascii="Times New Roman" w:cs="Times New Roman" w:eastAsia="Times New Roman" w:hAnsi="Times New Roman"/>
          <w:sz w:val="22"/>
          <w:szCs w:val="22"/>
          <w:b w:val="1"/>
          <w:bCs w:val="1"/>
          <w:color w:val="auto"/>
        </w:rPr>
        <w:t>Section 5</w:t>
      </w:r>
      <w:r>
        <w:rPr>
          <w:rFonts w:ascii="Times New Roman" w:cs="Times New Roman" w:eastAsia="Times New Roman" w:hAnsi="Times New Roman"/>
          <w:sz w:val="22"/>
          <w:szCs w:val="22"/>
          <w:color w:val="auto"/>
        </w:rPr>
        <w:t xml:space="preserve"> is contingent upon his agreement to adhere to the non-competition provisions set forth in the Non-Competition and Non-Solicitation Agreement, and that such consideration was mutually agreed upon with the Company and is fair and reasonable in exchange for Executive’s compliance with the non-competition obligations.</w:t>
      </w:r>
    </w:p>
    <w:p>
      <w:pPr>
        <w:spacing w:after="0" w:line="179" w:lineRule="exact"/>
        <w:rPr>
          <w:sz w:val="20"/>
          <w:szCs w:val="20"/>
          <w:color w:val="auto"/>
        </w:rPr>
      </w:pPr>
    </w:p>
    <w:p>
      <w:pPr>
        <w:jc w:val="both"/>
        <w:ind w:right="20" w:firstLine="725"/>
        <w:spacing w:after="0" w:line="235" w:lineRule="auto"/>
        <w:tabs>
          <w:tab w:leader="none" w:pos="111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NONDISPARAGEMENT. </w:t>
      </w:r>
      <w:r>
        <w:rPr>
          <w:rFonts w:ascii="Times New Roman" w:cs="Times New Roman" w:eastAsia="Times New Roman" w:hAnsi="Times New Roman"/>
          <w:sz w:val="22"/>
          <w:szCs w:val="22"/>
          <w:color w:val="auto"/>
        </w:rPr>
        <w:t>During the Executive’s employment with Cue and at all times thereafter,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not make negative comments or otherwise disparage Cue or any company or other trade or business that “controls,” is “controlled by” or is “under common control with,” Cue within the meaning of Rule 405 of Regulation C under the Securities Act, including any “subsidiary corporation” of Cue within the meaning of Section 424(f) of the Internal Revenue Code of 1986 (“</w:t>
      </w:r>
      <w:r>
        <w:rPr>
          <w:rFonts w:ascii="Times New Roman" w:cs="Times New Roman" w:eastAsia="Times New Roman" w:hAnsi="Times New Roman"/>
          <w:sz w:val="22"/>
          <w:szCs w:val="22"/>
          <w:b w:val="1"/>
          <w:bCs w:val="1"/>
          <w:color w:val="auto"/>
        </w:rPr>
        <w:t>Affiliates</w:t>
      </w:r>
      <w:r>
        <w:rPr>
          <w:rFonts w:ascii="Times New Roman" w:cs="Times New Roman" w:eastAsia="Times New Roman" w:hAnsi="Times New Roman"/>
          <w:sz w:val="22"/>
          <w:szCs w:val="22"/>
          <w:color w:val="auto"/>
        </w:rPr>
        <w:t xml:space="preserve">”) or any of their officers, directors, managers, employees, consultants, equity holders, agents or products. The foregoing shall not be violated by truthful statements (i) in accordance with </w:t>
      </w:r>
      <w:r>
        <w:rPr>
          <w:rFonts w:ascii="Times New Roman" w:cs="Times New Roman" w:eastAsia="Times New Roman" w:hAnsi="Times New Roman"/>
          <w:sz w:val="22"/>
          <w:szCs w:val="22"/>
          <w:b w:val="1"/>
          <w:bCs w:val="1"/>
          <w:color w:val="auto"/>
        </w:rPr>
        <w:t xml:space="preserve">Section 10(i) </w:t>
      </w:r>
      <w:r>
        <w:rPr>
          <w:rFonts w:ascii="Times New Roman" w:cs="Times New Roman" w:eastAsia="Times New Roman" w:hAnsi="Times New Roman"/>
          <w:sz w:val="22"/>
          <w:szCs w:val="22"/>
          <w:color w:val="auto"/>
        </w:rPr>
        <w:t>below; (ii) in response to legal process, required governmental testimony or filings or administrative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arbitral proceedings (including depositions in connection with such proceedings) or (iii) made in the course of Executive discharging Executive’s duties for Cue.</w:t>
      </w:r>
    </w:p>
    <w:p>
      <w:pPr>
        <w:spacing w:after="0" w:line="173" w:lineRule="exact"/>
        <w:rPr>
          <w:rFonts w:ascii="Times New Roman" w:cs="Times New Roman" w:eastAsia="Times New Roman" w:hAnsi="Times New Roman"/>
          <w:sz w:val="22"/>
          <w:szCs w:val="22"/>
          <w:color w:val="auto"/>
        </w:rPr>
      </w:pPr>
    </w:p>
    <w:p>
      <w:pPr>
        <w:jc w:val="both"/>
        <w:ind w:right="20" w:firstLine="725"/>
        <w:spacing w:after="0" w:line="236" w:lineRule="auto"/>
        <w:tabs>
          <w:tab w:leader="none" w:pos="111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COOPERATION. </w:t>
      </w:r>
      <w:r>
        <w:rPr>
          <w:rFonts w:ascii="Times New Roman" w:cs="Times New Roman" w:eastAsia="Times New Roman" w:hAnsi="Times New Roman"/>
          <w:sz w:val="22"/>
          <w:szCs w:val="22"/>
          <w:color w:val="auto"/>
        </w:rPr>
        <w:t>Upon the receipt of reasonable notice from Cue, while employed by Cue and for two (2)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years thereafter, Executive shall respond and provide information with regard to matters in which Executive has knowledge as a result of Executive’s employment with Cue, and shall provide reasonable assistance to Cue, its Affiliates and their respective representatives in defense of any claims that may be made against Cue or its Affiliates, and shall assist Cue and its Affiliates in the prosecution of any claims that may be made by Cue or its Affiliates, to the extent that such claims may relate to the period of Executive’s employment with Cue (collectively, the “</w:t>
      </w:r>
      <w:r>
        <w:rPr>
          <w:rFonts w:ascii="Times New Roman" w:cs="Times New Roman" w:eastAsia="Times New Roman" w:hAnsi="Times New Roman"/>
          <w:sz w:val="22"/>
          <w:szCs w:val="22"/>
          <w:b w:val="1"/>
          <w:bCs w:val="1"/>
          <w:color w:val="auto"/>
        </w:rPr>
        <w:t>Claims</w:t>
      </w:r>
      <w:r>
        <w:rPr>
          <w:rFonts w:ascii="Times New Roman" w:cs="Times New Roman" w:eastAsia="Times New Roman" w:hAnsi="Times New Roman"/>
          <w:sz w:val="22"/>
          <w:szCs w:val="22"/>
          <w:color w:val="auto"/>
        </w:rPr>
        <w:t>”). Executive shall promptly inform Cue if Executive becomes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1053465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168" w:name="page169"/>
    <w:bookmarkEnd w:id="168"/>
    <w:p>
      <w:pPr>
        <w:spacing w:after="0" w:line="9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aware of any lawsuits involving Claims that may be filed or threatened against Cue or its Affiliates. Executive also shall promptly inform Cue (to the extent that Executive is legally permitted to do so) if Executive is asked to assist in any investigation of Cue or its Affiliates (or their actions) or another party attempts to obtain information or documents from Executive (other than in connection with any litigation or other proceeding in which Executive is a party-in- opposition) with respect to matters Executive believes in good faith to relate to any investigation of Cue or its Affiliates, in each case, regardless of whether a lawsuit or other proceeding has then been filed against Cue or its Affiliates with respect to such investigation, and shall not do so unless legally required. During the pendency of any litigation or other proceeding involving Claims, Executive shall not communicate with anyone (other than Executive’s attorneys and tax and/or financial advisors and except to the extent either permitted by </w:t>
      </w:r>
      <w:r>
        <w:rPr>
          <w:rFonts w:ascii="Times New Roman" w:cs="Times New Roman" w:eastAsia="Times New Roman" w:hAnsi="Times New Roman"/>
          <w:sz w:val="22"/>
          <w:szCs w:val="22"/>
          <w:b w:val="1"/>
          <w:bCs w:val="1"/>
          <w:color w:val="auto"/>
        </w:rPr>
        <w:t>Section 10(i)</w:t>
      </w:r>
      <w:r>
        <w:rPr>
          <w:rFonts w:ascii="Times New Roman" w:cs="Times New Roman" w:eastAsia="Times New Roman" w:hAnsi="Times New Roman"/>
          <w:sz w:val="22"/>
          <w:szCs w:val="22"/>
          <w:color w:val="auto"/>
        </w:rPr>
        <w:t xml:space="preserve"> below or that Executive determines in good faith is necessary in connection with the Performance of Executive’s duties hereunder) with respect to the facts or subject matter of any pending or potential litigation or regulatory or administrative proceeding involving Cue or any of its Affiliates without getting the prior written consent of Cue. Upon presentation of appropriate documentation, Cue shall pay or reimburse Executive for all reasonable counsel fees, out-of-pocket travel, duplicating or telephonic expenses incurred by Executive in accordance with Cue’s applicable policies in complying with this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Executive shall be compensated by Cue at a reasonable hourly rate for assistance given after the end of the Term; provided, however, that Executive shall not be paid for any time spent testifying in any arbitration, trial, administrative hearing or other proceeding.</w:t>
      </w:r>
    </w:p>
    <w:p>
      <w:pPr>
        <w:spacing w:after="0" w:line="199" w:lineRule="exact"/>
        <w:rPr>
          <w:sz w:val="20"/>
          <w:szCs w:val="20"/>
          <w:color w:val="auto"/>
        </w:rPr>
      </w:pPr>
    </w:p>
    <w:p>
      <w:pPr>
        <w:ind w:firstLine="725"/>
        <w:spacing w:after="0" w:line="262" w:lineRule="auto"/>
        <w:tabs>
          <w:tab w:leader="none" w:pos="111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OWNERSHIP OF INFORMATION, IDEAS, CONCEPTS, IMPROVEMENTS, DISCOVERIES AND INVENTIONS, AND ALL ORIGINAL WORKS OF AUTHORSHIP</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1446"/>
        <w:spacing w:after="0" w:line="233" w:lineRule="auto"/>
        <w:rPr>
          <w:sz w:val="20"/>
          <w:szCs w:val="20"/>
          <w:color w:val="auto"/>
        </w:rPr>
      </w:pPr>
      <w:r>
        <w:rPr>
          <w:rFonts w:ascii="Times New Roman" w:cs="Times New Roman" w:eastAsia="Times New Roman" w:hAnsi="Times New Roman"/>
          <w:sz w:val="22"/>
          <w:szCs w:val="22"/>
          <w:color w:val="auto"/>
        </w:rPr>
        <w:t>(i)As between the Parties, all information, ideas, concepts, improvements, discoveries and inventions, whether patentable or not, which are conceived, made, developed or acquired by Executive or which are disclosed or made known to Executive, individually or in conjunction with others, during the Term and which relate to Cue’s business, products or services (including all such information relating to corporate opportunities, research, financial and sales data, pricing and trading terms, evaluations, opinions, interpretations, acquisition prospects, the identity of clients or customers or their requirements, the identity of key contacts within the client or customers’ organizations or within the organization of acquisition prospects, or marketing and merchandising techniques, prospective names and marks) are and shall be the sole and exclusive property of Cue. Moreover, all drawings, memoranda, notes, records, files, correspondence, manuals, models, specifications, computer programs, maps and all other writings or materials of any type embodying any of such information, ideas, concepts, improvements, discoveries and inventions are and shall be the sole and exclusive property of Cue.</w:t>
      </w:r>
    </w:p>
    <w:p>
      <w:pPr>
        <w:spacing w:after="0" w:line="187" w:lineRule="exact"/>
        <w:rPr>
          <w:sz w:val="20"/>
          <w:szCs w:val="20"/>
          <w:color w:val="auto"/>
        </w:rPr>
      </w:pPr>
    </w:p>
    <w:p>
      <w:pPr>
        <w:jc w:val="both"/>
        <w:ind w:firstLine="1446"/>
        <w:spacing w:after="0" w:line="235" w:lineRule="auto"/>
        <w:rPr>
          <w:sz w:val="20"/>
          <w:szCs w:val="20"/>
          <w:color w:val="auto"/>
        </w:rPr>
      </w:pPr>
      <w:r>
        <w:rPr>
          <w:rFonts w:ascii="Times New Roman" w:cs="Times New Roman" w:eastAsia="Times New Roman" w:hAnsi="Times New Roman"/>
          <w:sz w:val="22"/>
          <w:szCs w:val="22"/>
          <w:color w:val="auto"/>
        </w:rPr>
        <w:t>(ii)In particular, Executive hereby specifically assigns and transfers to Cue all of Executive’s worldwide right, title and interest in and to all such information, ideas, concepts, improvements, discoveries or inventions, and any United States or foreign applications for patents, inventor’s certificates or other industrial rights that may be filed thereon, and applications for registration of such names and marks. During the Term and thereafter, Executive shall assist Cue and its nominee at all times in the protection of such information, ideas, concepts, improvements, discoveries or inventions, both in the United States and all foreign countries, including the execution of all lawful oaths and all assignment documents requested by Cue or its nominee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1055370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169" w:name="page170"/>
    <w:bookmarkEnd w:id="169"/>
    <w:p>
      <w:pPr>
        <w:spacing w:after="0" w:line="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connection with the preparation, prosecution, issuance or enforcement of any applications for United States or foreign letters patent, and any application for the registration of such names and marks.</w:t>
      </w:r>
    </w:p>
    <w:p>
      <w:pPr>
        <w:spacing w:after="0" w:line="23" w:lineRule="exact"/>
        <w:rPr>
          <w:sz w:val="20"/>
          <w:szCs w:val="20"/>
          <w:color w:val="auto"/>
        </w:rPr>
      </w:pPr>
    </w:p>
    <w:p>
      <w:pPr>
        <w:jc w:val="both"/>
        <w:ind w:firstLine="1500"/>
        <w:spacing w:after="0" w:line="232" w:lineRule="auto"/>
        <w:tabs>
          <w:tab w:leader="none" w:pos="1902"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Moreover, if during the Term, Executive creates any original work of authorship fixed in any tangible medium of expression which is the subject matter of copyright (such as reports, videotapes, written presentations, computer programs, drawings, maps, architectural renditions, models, manuals, brochures or the like) relating to Cue’s business, products or services, whether such work is created solely by Executive or jointly with others, Cue shall be deemed the author of such work if the work is prepared by Executive in the scope of Executive’s employment; or, if the work is not prepared by Executive within the scope of Executive’s employment but is specially ordered by Cue as a contribution to a collective work, as a part of any written or audiovisual work, as a translation, as a supplementary work, as a compilation or as an instructional text, then the work shall be considered to be work made for hire and Cue shall be the author of the work. In the event such work is neither prepared by Executive within the scope of Executive’s employment or is not a work specially ordered and deemed to be a work made for hire, then Executive shall assign, and by these presents, does assign, to Cue all of Executive’s worldwide right, title and interest in and to such work and all rights of copyright therein. Both during the Term and thereafter, Executive shall assist Cue and its nominee, at any time, in the protection of Cue’s worldwide right, title and interest in and to the work and all rights of copyright therein, including the execution of all formal assignment documents requested by Cue or its nominee and the execution of all lawful oaths and applications for registration of copyright in the United States and foreign countries;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however, </w:t>
      </w:r>
      <w:r>
        <w:rPr>
          <w:rFonts w:ascii="Times New Roman" w:cs="Times New Roman" w:eastAsia="Times New Roman" w:hAnsi="Times New Roman"/>
          <w:sz w:val="22"/>
          <w:szCs w:val="22"/>
          <w:color w:val="auto"/>
        </w:rPr>
        <w:t>that Executive shall be compensated by Cue at a reasonable hourly rate for assistance given after the end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w:t>
      </w:r>
    </w:p>
    <w:p>
      <w:pPr>
        <w:spacing w:after="0" w:line="185" w:lineRule="exact"/>
        <w:rPr>
          <w:rFonts w:ascii="Times New Roman" w:cs="Times New Roman" w:eastAsia="Times New Roman" w:hAnsi="Times New Roman"/>
          <w:sz w:val="22"/>
          <w:szCs w:val="22"/>
          <w:color w:val="auto"/>
        </w:rPr>
      </w:pPr>
    </w:p>
    <w:p>
      <w:pPr>
        <w:jc w:val="both"/>
        <w:ind w:firstLine="1500"/>
        <w:spacing w:after="0" w:line="252" w:lineRule="auto"/>
        <w:tabs>
          <w:tab w:leader="none" w:pos="1863"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provisions of this </w:t>
      </w:r>
      <w:r>
        <w:rPr>
          <w:rFonts w:ascii="Times New Roman" w:cs="Times New Roman" w:eastAsia="Times New Roman" w:hAnsi="Times New Roman"/>
          <w:sz w:val="21"/>
          <w:szCs w:val="21"/>
          <w:b w:val="1"/>
          <w:bCs w:val="1"/>
          <w:color w:val="auto"/>
        </w:rPr>
        <w:t>Section 10(e)</w:t>
      </w:r>
      <w:r>
        <w:rPr>
          <w:rFonts w:ascii="Times New Roman" w:cs="Times New Roman" w:eastAsia="Times New Roman" w:hAnsi="Times New Roman"/>
          <w:sz w:val="21"/>
          <w:szCs w:val="21"/>
          <w:color w:val="auto"/>
        </w:rPr>
        <w:t xml:space="preserve">, Cue hereby notifies Executive that the provisions of this </w:t>
      </w:r>
      <w:r>
        <w:rPr>
          <w:rFonts w:ascii="Times New Roman" w:cs="Times New Roman" w:eastAsia="Times New Roman" w:hAnsi="Times New Roman"/>
          <w:sz w:val="21"/>
          <w:szCs w:val="21"/>
          <w:b w:val="1"/>
          <w:bCs w:val="1"/>
          <w:color w:val="auto"/>
        </w:rPr>
        <w:t>Section 10(e)</w:t>
      </w:r>
      <w:r>
        <w:rPr>
          <w:rFonts w:ascii="Times New Roman" w:cs="Times New Roman" w:eastAsia="Times New Roman" w:hAnsi="Times New Roman"/>
          <w:sz w:val="21"/>
          <w:szCs w:val="21"/>
          <w:color w:val="auto"/>
        </w:rPr>
        <w:t xml:space="preserve"> shall not apply to any inventions for which no equipment, supplies, facility, Confidential Information or trade secret information of Cue was used and which were developed entirely on Executive’s own time, unless (A) the invention relates (1) to the business or technology of Cue, or (2) to actual or demonstrably anticipated research or development of Cue, or (B) the invention results from any work performed by Executive for Cue.</w:t>
      </w:r>
    </w:p>
    <w:p>
      <w:pPr>
        <w:spacing w:after="0" w:line="163" w:lineRule="exact"/>
        <w:rPr>
          <w:rFonts w:ascii="Times New Roman" w:cs="Times New Roman" w:eastAsia="Times New Roman" w:hAnsi="Times New Roman"/>
          <w:sz w:val="21"/>
          <w:szCs w:val="21"/>
          <w:color w:val="auto"/>
        </w:rPr>
      </w:pPr>
    </w:p>
    <w:p>
      <w:pPr>
        <w:jc w:val="both"/>
        <w:ind w:right="20" w:firstLine="725"/>
        <w:spacing w:after="0" w:line="241" w:lineRule="auto"/>
        <w:tabs>
          <w:tab w:leader="none" w:pos="111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RETURN OF COMPANY PROPERTY. </w:t>
      </w:r>
      <w:r>
        <w:rPr>
          <w:rFonts w:ascii="Times New Roman" w:cs="Times New Roman" w:eastAsia="Times New Roman" w:hAnsi="Times New Roman"/>
          <w:sz w:val="22"/>
          <w:szCs w:val="22"/>
          <w:color w:val="auto"/>
        </w:rPr>
        <w:t>On the date of Executive’s termination of employment with Cue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any reason (or at any time prior thereto at Cue’s request), Executive shall return all property belonging to Cue or its Affiliates (including any Cue or Affiliate-provided laptops, computers, cell phones, wireless electronic mail devices or other equipment, or documents or property belonging to Cue or an Affiliate).</w:t>
      </w:r>
    </w:p>
    <w:p>
      <w:pPr>
        <w:spacing w:after="0" w:line="172" w:lineRule="exact"/>
        <w:rPr>
          <w:sz w:val="20"/>
          <w:szCs w:val="20"/>
          <w:color w:val="auto"/>
        </w:rPr>
      </w:pPr>
    </w:p>
    <w:p>
      <w:pPr>
        <w:ind w:left="1500" w:hanging="749"/>
        <w:spacing w:after="0"/>
        <w:tabs>
          <w:tab w:leader="none" w:pos="150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EFFECT OF EXECUTIVE BECOMING A BAD LEAVER. </w:t>
      </w:r>
      <w:r>
        <w:rPr>
          <w:rFonts w:ascii="Times New Roman" w:cs="Times New Roman" w:eastAsia="Times New Roman" w:hAnsi="Times New Roman"/>
          <w:sz w:val="22"/>
          <w:szCs w:val="22"/>
          <w:color w:val="auto"/>
        </w:rPr>
        <w:t>Notwithstanding</w:t>
      </w:r>
    </w:p>
    <w:p>
      <w:pPr>
        <w:spacing w:after="0" w:line="18"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22"/>
          <w:szCs w:val="22"/>
          <w:color w:val="auto"/>
        </w:rPr>
        <w:t>any provision of this Agreement to the contrary, if (i) Executive breaches any of the applicable covenants set forth in this Agreement at any time during the period commencing on the Effective Date and ending 12 months after Executive’s termination of employment with Cue for any reason and (ii) Executive fails to cure such breach within 10 days of the effective date of written notice of such breach given by Cue, then Executive shall be deemed a “</w:t>
      </w:r>
      <w:r>
        <w:rPr>
          <w:rFonts w:ascii="Times New Roman" w:cs="Times New Roman" w:eastAsia="Times New Roman" w:hAnsi="Times New Roman"/>
          <w:sz w:val="22"/>
          <w:szCs w:val="22"/>
          <w:b w:val="1"/>
          <w:bCs w:val="1"/>
          <w:color w:val="auto"/>
        </w:rPr>
        <w:t>Bad Leaver.</w:t>
      </w:r>
      <w:r>
        <w:rPr>
          <w:rFonts w:ascii="Times New Roman" w:cs="Times New Roman" w:eastAsia="Times New Roman" w:hAnsi="Times New Roman"/>
          <w:sz w:val="22"/>
          <w:szCs w:val="22"/>
          <w:color w:val="auto"/>
        </w:rPr>
        <w:t>” If Executive is or becomes a Bad Leaver, then (i) any severance being paid to Executive pursuant to this Agreement or otherwise shall immediately cease upon commencement of such action and (ii) Executive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1055370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170" w:name="page171"/>
    <w:bookmarkEnd w:id="170"/>
    <w:p>
      <w:pPr>
        <w:spacing w:after="0" w:line="258" w:lineRule="auto"/>
        <w:rPr>
          <w:sz w:val="20"/>
          <w:szCs w:val="20"/>
          <w:color w:val="auto"/>
        </w:rPr>
      </w:pPr>
      <w:r>
        <w:rPr>
          <w:rFonts w:ascii="Times New Roman" w:cs="Times New Roman" w:eastAsia="Times New Roman" w:hAnsi="Times New Roman"/>
          <w:sz w:val="22"/>
          <w:szCs w:val="22"/>
          <w:color w:val="auto"/>
        </w:rPr>
        <w:t xml:space="preserve">be liable to repay to Cue any severance previously paid to Executive by Cue, less $100 to serve as consideration for the release described in </w:t>
      </w:r>
      <w:r>
        <w:rPr>
          <w:rFonts w:ascii="Times New Roman" w:cs="Times New Roman" w:eastAsia="Times New Roman" w:hAnsi="Times New Roman"/>
          <w:sz w:val="22"/>
          <w:szCs w:val="22"/>
          <w:b w:val="1"/>
          <w:bCs w:val="1"/>
          <w:color w:val="auto"/>
        </w:rPr>
        <w:t>Section 9</w:t>
      </w:r>
      <w:r>
        <w:rPr>
          <w:rFonts w:ascii="Times New Roman" w:cs="Times New Roman" w:eastAsia="Times New Roman" w:hAnsi="Times New Roman"/>
          <w:sz w:val="22"/>
          <w:szCs w:val="22"/>
          <w:color w:val="auto"/>
        </w:rPr>
        <w:t xml:space="preserve"> above.</w:t>
      </w:r>
    </w:p>
    <w:p>
      <w:pPr>
        <w:spacing w:after="0" w:line="19" w:lineRule="exact"/>
        <w:rPr>
          <w:sz w:val="20"/>
          <w:szCs w:val="20"/>
          <w:color w:val="auto"/>
        </w:rPr>
      </w:pPr>
    </w:p>
    <w:p>
      <w:pPr>
        <w:jc w:val="both"/>
        <w:ind w:firstLine="725"/>
        <w:spacing w:after="0" w:line="246" w:lineRule="auto"/>
        <w:tabs>
          <w:tab w:leader="none" w:pos="111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TOLLING. </w:t>
      </w:r>
      <w:r>
        <w:rPr>
          <w:rFonts w:ascii="Times New Roman" w:cs="Times New Roman" w:eastAsia="Times New Roman" w:hAnsi="Times New Roman"/>
          <w:sz w:val="22"/>
          <w:szCs w:val="22"/>
          <w:color w:val="auto"/>
        </w:rPr>
        <w:t>If Executive violates any of the terms of the non-disclosure and non-solicitation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articulated herein, the obligation at issue shall run from the first date on which Executive ceases to be in violation of such obligation.</w:t>
      </w:r>
    </w:p>
    <w:p>
      <w:pPr>
        <w:spacing w:after="0" w:line="167" w:lineRule="exact"/>
        <w:rPr>
          <w:rFonts w:ascii="Times New Roman" w:cs="Times New Roman" w:eastAsia="Times New Roman" w:hAnsi="Times New Roman"/>
          <w:sz w:val="22"/>
          <w:szCs w:val="22"/>
          <w:color w:val="auto"/>
        </w:rPr>
      </w:pPr>
    </w:p>
    <w:p>
      <w:pPr>
        <w:jc w:val="both"/>
        <w:ind w:firstLine="725"/>
        <w:spacing w:after="0" w:line="233" w:lineRule="auto"/>
        <w:tabs>
          <w:tab w:leader="none" w:pos="111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SCOPE OF DISCLOSURE RESTRICTIONS</w:t>
      </w:r>
      <w:r>
        <w:rPr>
          <w:rFonts w:ascii="Times New Roman" w:cs="Times New Roman" w:eastAsia="Times New Roman" w:hAnsi="Times New Roman"/>
          <w:sz w:val="22"/>
          <w:szCs w:val="22"/>
          <w:color w:val="auto"/>
        </w:rPr>
        <w:t>. Executive acknowledges that nothing in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prohibits him from communicating with government agencies about possible violations of federal, state, or local laws or otherwise providing information to government agencies, filing a complaint with government agencies, or participating in government agency investigations or proceedings. Executive further understands that he is not required to notify Cue of any such communications; provided, however, that nothing herein authorizes the disclosure of information Executive obtained through a communication that was subject to the attorney-client privilege. Further, notwithstanding his confidentiality and nondisclosure obligations, Executive understands that she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11.EQUITABLE RELIEF AND OTHER REMEDIES. </w:t>
      </w:r>
      <w:r>
        <w:rPr>
          <w:rFonts w:ascii="Times New Roman" w:cs="Times New Roman" w:eastAsia="Times New Roman" w:hAnsi="Times New Roman"/>
          <w:sz w:val="22"/>
          <w:szCs w:val="22"/>
          <w:color w:val="auto"/>
        </w:rPr>
        <w:t>Executive acknowledges that Cue’s remedies at law for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breach or threatened breach of any of the provisions of </w:t>
      </w:r>
      <w:r>
        <w:rPr>
          <w:rFonts w:ascii="Times New Roman" w:cs="Times New Roman" w:eastAsia="Times New Roman" w:hAnsi="Times New Roman"/>
          <w:sz w:val="22"/>
          <w:szCs w:val="22"/>
          <w:b w:val="1"/>
          <w:bCs w:val="1"/>
          <w:color w:val="auto"/>
        </w:rPr>
        <w:t>Section 10</w:t>
      </w:r>
      <w:r>
        <w:rPr>
          <w:rFonts w:ascii="Times New Roman" w:cs="Times New Roman" w:eastAsia="Times New Roman" w:hAnsi="Times New Roman"/>
          <w:sz w:val="22"/>
          <w:szCs w:val="22"/>
          <w:color w:val="auto"/>
        </w:rPr>
        <w:t xml:space="preserve"> above would be inadequate and in the event of such a breach or threatened breach, in addition to any remedies at law, Cue, without posting any bond, shall be entitled to seek to obtain equitable relief in the form of specific performance, a temporary restraining order, a temporary or permanent injunction or any other equitable remedy that may then be available, without the necessity of showing actual monetary damages or the posting of a bond or other security.</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12.NO ASSIGNMENTS. </w:t>
      </w:r>
      <w:r>
        <w:rPr>
          <w:rFonts w:ascii="Times New Roman" w:cs="Times New Roman" w:eastAsia="Times New Roman" w:hAnsi="Times New Roman"/>
          <w:sz w:val="22"/>
          <w:szCs w:val="22"/>
          <w:color w:val="auto"/>
        </w:rPr>
        <w:t>This Agreement is personal to each of the Parties. Except as provided in this</w:t>
      </w:r>
      <w:r>
        <w:rPr>
          <w:rFonts w:ascii="Times New Roman" w:cs="Times New Roman" w:eastAsia="Times New Roman" w:hAnsi="Times New Roman"/>
          <w:sz w:val="22"/>
          <w:szCs w:val="22"/>
          <w:b w:val="1"/>
          <w:bCs w:val="1"/>
          <w:color w:val="auto"/>
        </w:rPr>
        <w:t xml:space="preserve"> Section 12, </w:t>
      </w:r>
      <w:r>
        <w:rPr>
          <w:rFonts w:ascii="Times New Roman" w:cs="Times New Roman" w:eastAsia="Times New Roman" w:hAnsi="Times New Roman"/>
          <w:sz w:val="22"/>
          <w:szCs w:val="22"/>
          <w:color w:val="auto"/>
        </w:rPr>
        <w:t xml:space="preserve">neither Party may assign or delegate any rights or obligations hereunder without first obtaining the written consent of the other Party. Cue may assign this Agreement to any of its Affiliates or to any successor to all or substantially all of the business and/or assets of Cue,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Cue shall require such Affiliate or successor to expressly assume and agree to perform this Agreement in the same manner and to the same extent that Cue would be required to perform it if no such succession had taken place. As used in this Agreement, “Cue” and the “Company” shall mean Cue and any Affiliate or successor to its business and/or assets that assumes and agrees to perform the duties and obligations of Cue under this Agreement by operation of law or otherwise.</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13.NOTICE. </w:t>
      </w:r>
      <w:r>
        <w:rPr>
          <w:rFonts w:ascii="Times New Roman" w:cs="Times New Roman" w:eastAsia="Times New Roman" w:hAnsi="Times New Roman"/>
          <w:sz w:val="22"/>
          <w:szCs w:val="22"/>
          <w:color w:val="auto"/>
        </w:rPr>
        <w:t>Any notice that either Party may be required or permitted to give to the other shall be in writing and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delivered personally, by electronic mail or via a postal service, postage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1036955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314" w:right="719" w:bottom="1440" w:gutter="0" w:footer="0" w:header="0"/>
        </w:sectPr>
      </w:pPr>
    </w:p>
    <w:bookmarkStart w:id="171" w:name="page172"/>
    <w:bookmarkEnd w:id="171"/>
    <w:p>
      <w:pPr>
        <w:spacing w:after="0" w:line="90" w:lineRule="exact"/>
        <w:rPr>
          <w:sz w:val="20"/>
          <w:szCs w:val="20"/>
          <w:color w:val="auto"/>
        </w:rPr>
      </w:pPr>
    </w:p>
    <w:p>
      <w:pPr>
        <w:jc w:val="both"/>
        <w:ind w:firstLine="130"/>
        <w:spacing w:after="0" w:line="239" w:lineRule="auto"/>
        <w:rPr>
          <w:sz w:val="20"/>
          <w:szCs w:val="20"/>
          <w:color w:val="auto"/>
        </w:rPr>
      </w:pPr>
      <w:r>
        <w:rPr>
          <w:rFonts w:ascii="Times New Roman" w:cs="Times New Roman" w:eastAsia="Times New Roman" w:hAnsi="Times New Roman"/>
          <w:sz w:val="22"/>
          <w:szCs w:val="22"/>
          <w:color w:val="auto"/>
        </w:rPr>
        <w:t>prepaid, to such electronic mail or postal address and directed to such person as Cue may notify Executive from time to time; and to Executive at Executive’s electronic mail or postal address as shown on the records of Cue from time to time, or at such other electronic mail or postal address as Executive, by notice to Cue, may designate in writing from time to time.</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14.SECTION HEADINGS; INCONSISTENCY. </w:t>
      </w:r>
      <w:r>
        <w:rPr>
          <w:rFonts w:ascii="Times New Roman" w:cs="Times New Roman" w:eastAsia="Times New Roman" w:hAnsi="Times New Roman"/>
          <w:sz w:val="22"/>
          <w:szCs w:val="22"/>
          <w:color w:val="auto"/>
        </w:rPr>
        <w:t>The section headings used in this Agreement are included solely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convenience and shall not affect, or be used in connection with, the interpretation of this Agreement. In the event of any inconsistency between the terms of this Agreement and any form, award, plan or policy of Cue, the terms of this Agreement shall govern and control.</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15.SEVERABILITY</w:t>
      </w:r>
      <w:r>
        <w:rPr>
          <w:rFonts w:ascii="Times New Roman" w:cs="Times New Roman" w:eastAsia="Times New Roman" w:hAnsi="Times New Roman"/>
          <w:sz w:val="22"/>
          <w:szCs w:val="22"/>
          <w:color w:val="auto"/>
        </w:rPr>
        <w:t>. Whenever possible, each provision of this Agreement shall be interpreted in such maimer as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16.COUNTERPARTS</w:t>
      </w:r>
      <w:r>
        <w:rPr>
          <w:rFonts w:ascii="Times New Roman" w:cs="Times New Roman" w:eastAsia="Times New Roman" w:hAnsi="Times New Roman"/>
          <w:sz w:val="22"/>
          <w:szCs w:val="22"/>
          <w:color w:val="auto"/>
        </w:rPr>
        <w:t>. This Agreement may be executed in several counterparts, each of which shall be deemed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original but all of which together shall constitute one and the same instrument.</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17.APPLICABLE LAW; CHOICE OF VENUE AND CONSENT TO JURISDICTION; SERVICE OF PROCESS; WAIVER OF JURY TRIAL.</w:t>
      </w:r>
    </w:p>
    <w:p>
      <w:pPr>
        <w:spacing w:after="0" w:line="140" w:lineRule="exact"/>
        <w:rPr>
          <w:sz w:val="20"/>
          <w:szCs w:val="20"/>
          <w:color w:val="auto"/>
        </w:rPr>
      </w:pPr>
    </w:p>
    <w:p>
      <w:pPr>
        <w:jc w:val="both"/>
        <w:ind w:firstLine="725"/>
        <w:spacing w:after="0" w:line="239" w:lineRule="auto"/>
        <w:tabs>
          <w:tab w:leader="none" w:pos="111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questions concerning the construction, validity and interpretation of this Agreement and the Performance of the obligations imposed by this Agreement shall be governed by the internal laws of the Commonwealth of Massachusetts applicable to agreements made and wholly to be performed in such state without regard to conflicts of law provisions of any jurisdiction.</w:t>
      </w:r>
    </w:p>
    <w:p>
      <w:pPr>
        <w:spacing w:after="0" w:line="180" w:lineRule="exact"/>
        <w:rPr>
          <w:rFonts w:ascii="Times New Roman" w:cs="Times New Roman" w:eastAsia="Times New Roman" w:hAnsi="Times New Roman"/>
          <w:sz w:val="22"/>
          <w:szCs w:val="22"/>
          <w:color w:val="auto"/>
        </w:rPr>
      </w:pPr>
    </w:p>
    <w:p>
      <w:pPr>
        <w:jc w:val="both"/>
        <w:ind w:firstLine="725"/>
        <w:spacing w:after="0" w:line="238" w:lineRule="auto"/>
        <w:tabs>
          <w:tab w:leader="none" w:pos="111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resolving any dispute that arises directly or indirectly from the relationship of the Parties evidenced by this Agreement, the Parties hereby submit to and consent to the exclusive jurisdiction of the Commonwealth of Massachusetts and further agree that any related litigation shall be conducted solely in the courts of Suffolk County, Massachusetts or the federal courts for the United States for the District of Massachusetts in Suffolk County, where this Agreement is made and/or to be performed, and no other courts.</w:t>
      </w:r>
    </w:p>
    <w:p>
      <w:pPr>
        <w:spacing w:after="0" w:line="176" w:lineRule="exact"/>
        <w:rPr>
          <w:rFonts w:ascii="Times New Roman" w:cs="Times New Roman" w:eastAsia="Times New Roman" w:hAnsi="Times New Roman"/>
          <w:sz w:val="22"/>
          <w:szCs w:val="22"/>
          <w:color w:val="auto"/>
        </w:rPr>
      </w:pPr>
    </w:p>
    <w:p>
      <w:pPr>
        <w:ind w:firstLine="725"/>
        <w:spacing w:after="0" w:line="258" w:lineRule="auto"/>
        <w:tabs>
          <w:tab w:leader="none" w:pos="111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may be served with process in any manner permitted under State of Massachusetts law, or by United States registered or certified mail, return receipt requested.</w:t>
      </w:r>
    </w:p>
    <w:p>
      <w:pPr>
        <w:spacing w:after="0" w:line="158" w:lineRule="exact"/>
        <w:rPr>
          <w:rFonts w:ascii="Times New Roman" w:cs="Times New Roman" w:eastAsia="Times New Roman" w:hAnsi="Times New Roman"/>
          <w:sz w:val="22"/>
          <w:szCs w:val="22"/>
          <w:color w:val="auto"/>
        </w:rPr>
      </w:pPr>
    </w:p>
    <w:p>
      <w:pPr>
        <w:jc w:val="both"/>
        <w:ind w:firstLine="725"/>
        <w:spacing w:after="0" w:line="244" w:lineRule="auto"/>
        <w:tabs>
          <w:tab w:leader="none" w:pos="111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EXECUTION OF THIS AGREEMENT, THE PARTIES ARE WAIVING ANY RIGHT TO TRIAL BY JURY IN CONNECTION WITH ANY SUIT, ACTION OR PROCEEDING ARISING OUT OF OR BASED ON THIS AGREEMENT.</w:t>
      </w:r>
    </w:p>
    <w:p>
      <w:pPr>
        <w:spacing w:after="0" w:line="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MISCELLANEOUS. </w:t>
      </w:r>
      <w:r>
        <w:rPr>
          <w:rFonts w:ascii="Times New Roman" w:cs="Times New Roman" w:eastAsia="Times New Roman" w:hAnsi="Times New Roman"/>
          <w:sz w:val="22"/>
          <w:szCs w:val="22"/>
          <w:color w:val="auto"/>
        </w:rPr>
        <w:t>No provision of this Agreement may be modified, waived or discharged unless such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modification or discharge is agreed to in writing and signed by Executive and such officer or director as may be designated by Cue. No waiver by either Party at any time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1047750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172" w:name="page173"/>
    <w:bookmarkEnd w:id="172"/>
    <w:p>
      <w:pPr>
        <w:jc w:val="both"/>
        <w:spacing w:after="0" w:line="235" w:lineRule="auto"/>
        <w:rPr>
          <w:sz w:val="20"/>
          <w:szCs w:val="20"/>
          <w:color w:val="auto"/>
        </w:rPr>
      </w:pPr>
      <w:r>
        <w:rPr>
          <w:rFonts w:ascii="Times New Roman" w:cs="Times New Roman" w:eastAsia="Times New Roman" w:hAnsi="Times New Roman"/>
          <w:sz w:val="22"/>
          <w:szCs w:val="22"/>
          <w:color w:val="auto"/>
        </w:rPr>
        <w:t>breach by the other Party of, or compliance with, any condition or provision of this Agreement to be performed by such other Party shall be deemed a waiver of similar or dissimilar provisions or conditions at the same or at any prior or subsequent time. This Agreement together with all exhibits hereto sets forth the entire agreement of the Parties in respect of the subject matter contained herein and supersedes any and all prior agreements or understandings between Executive and Cue or its Affiliates with respect to the subject matter hereof. No agreements or representations, oral or otherwise, express or implied, with respect to the subject matter hereof, have been made by either Party that are not expressly set forth in this Agreement.</w:t>
      </w:r>
    </w:p>
    <w:p>
      <w:pPr>
        <w:spacing w:after="0" w:line="17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18.REPRESENTATIONS. </w:t>
      </w:r>
      <w:r>
        <w:rPr>
          <w:rFonts w:ascii="Times New Roman" w:cs="Times New Roman" w:eastAsia="Times New Roman" w:hAnsi="Times New Roman"/>
          <w:sz w:val="22"/>
          <w:szCs w:val="22"/>
          <w:color w:val="auto"/>
        </w:rPr>
        <w:t>Executive represents and warrants to Cue that (a) Executive has the legal right to enter into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and to perform all of the obligations on Executive’s part to be performed hereunder in accordance with its terms, and (b) Executive is not a party to any agreement or understanding, written or oral, and is not subject to any restriction, which, in either case, could prevent Executive from entering into this Agreement or performing all of Executive’s duties and obligations hereunder.</w:t>
      </w:r>
    </w:p>
    <w:p>
      <w:pPr>
        <w:spacing w:after="0" w:line="177" w:lineRule="exact"/>
        <w:rPr>
          <w:sz w:val="20"/>
          <w:szCs w:val="20"/>
          <w:color w:val="auto"/>
        </w:rPr>
      </w:pPr>
    </w:p>
    <w:p>
      <w:pPr>
        <w:ind w:left="760" w:hanging="758"/>
        <w:spacing w:after="0"/>
        <w:tabs>
          <w:tab w:leader="none" w:pos="76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MATTERS.</w:t>
      </w:r>
    </w:p>
    <w:p>
      <w:pPr>
        <w:spacing w:after="0" w:line="206" w:lineRule="exact"/>
        <w:rPr>
          <w:rFonts w:ascii="Times New Roman" w:cs="Times New Roman" w:eastAsia="Times New Roman" w:hAnsi="Times New Roman"/>
          <w:sz w:val="22"/>
          <w:szCs w:val="22"/>
          <w:b w:val="1"/>
          <w:bCs w:val="1"/>
          <w:color w:val="auto"/>
        </w:rPr>
      </w:pPr>
    </w:p>
    <w:p>
      <w:pPr>
        <w:jc w:val="both"/>
        <w:ind w:firstLine="725"/>
        <w:spacing w:after="0" w:line="246" w:lineRule="auto"/>
        <w:tabs>
          <w:tab w:leader="none" w:pos="1113"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WITHHOLDING. </w:t>
      </w:r>
      <w:r>
        <w:rPr>
          <w:rFonts w:ascii="Times New Roman" w:cs="Times New Roman" w:eastAsia="Times New Roman" w:hAnsi="Times New Roman"/>
          <w:sz w:val="22"/>
          <w:szCs w:val="22"/>
          <w:color w:val="auto"/>
        </w:rPr>
        <w:t>Any and all amounts payable under this Agreement or otherwise shall be subject 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Cue may withhold from such amounts, any federal, state, local or other taxes as may be required to be withheld pursuant to any applicable law or regulation.</w:t>
      </w:r>
    </w:p>
    <w:p>
      <w:pPr>
        <w:spacing w:after="0" w:line="167" w:lineRule="exact"/>
        <w:rPr>
          <w:rFonts w:ascii="Times New Roman" w:cs="Times New Roman" w:eastAsia="Times New Roman" w:hAnsi="Times New Roman"/>
          <w:sz w:val="22"/>
          <w:szCs w:val="22"/>
          <w:color w:val="auto"/>
        </w:rPr>
      </w:pPr>
    </w:p>
    <w:p>
      <w:pPr>
        <w:ind w:left="1500" w:hanging="749"/>
        <w:spacing w:after="0"/>
        <w:tabs>
          <w:tab w:leader="none" w:pos="1500"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 COMPLIANCE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46"/>
        <w:spacing w:after="0" w:line="247" w:lineRule="auto"/>
        <w:rPr>
          <w:sz w:val="20"/>
          <w:szCs w:val="20"/>
          <w:color w:val="auto"/>
        </w:rPr>
      </w:pPr>
      <w:r>
        <w:rPr>
          <w:rFonts w:ascii="Times New Roman" w:cs="Times New Roman" w:eastAsia="Times New Roman" w:hAnsi="Times New Roman"/>
          <w:sz w:val="21"/>
          <w:szCs w:val="21"/>
          <w:color w:val="auto"/>
        </w:rPr>
        <w:t>(i)The intent of the Parties is that payments and benefits under this Agreement be exempt from (to the extent possible) or compliant with Section 409A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of the Internal Revenue Code of 1986 and the regulations and guidance promulgated thereunder, as amended (collectively, the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and, accordingly, to the maximum extent permitted, this Agreement shall be interpreted accordingly. To the extent that any provision hereof is modified in order to comply with Section 409A, such modification shall be made in good faith and shall, to the maximum extent reasonably possible, maintain the original intent and economic benefit to the Parties of the applicable provision without violating the provisions of Section 409A. In no event shall Cue be liable for any additional tax, interest or penalty that may be imposed on Executive by Section 409A or damages for failing to comply with Section 409A.</w:t>
      </w:r>
    </w:p>
    <w:p>
      <w:pPr>
        <w:spacing w:after="0" w:line="1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18.</w:t>
      </w:r>
      <w:r>
        <w:rPr>
          <w:rFonts w:ascii="Times New Roman" w:cs="Times New Roman" w:eastAsia="Times New Roman" w:hAnsi="Times New Roman"/>
          <w:sz w:val="22"/>
          <w:szCs w:val="22"/>
          <w:color w:val="auto"/>
        </w:rPr>
        <w:t>A termination of employment shall not be deemed to have occurred for purposes of any provision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providing for the payment of any amounts or benefits that constitute “nonqualified deferred compensation” under Section 409A upon or following a termination of employment unless such termination is also a “separation from service” within die meaning of Section 409A and, for purposes of any such provision of this Agreement, references to a “termination,” “termination of employment” or like terms shall mean “separation from service.” Notwithstanding anything to the contrary in this Agreement, if Executive is deemed on the date of termination to be a “specified employee” under Section 409A, then with regard to any payment or the provision of any benefit that is considered “nonqualified deferred compensation” under Section 409A payable on account of a “separation from service,” such payment or benefit shall not be made or provided until the earlier of (A) the expiration of the six-month period measured from the date of such “separation from service” of Executive, and (B) the date of Executive’s death,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1055370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395" w:right="719" w:bottom="1440" w:gutter="0" w:footer="0" w:header="0"/>
        </w:sectPr>
      </w:pPr>
    </w:p>
    <w:bookmarkStart w:id="173" w:name="page174"/>
    <w:bookmarkEnd w:id="173"/>
    <w:p>
      <w:pPr>
        <w:spacing w:after="0" w:line="90" w:lineRule="exact"/>
        <w:rPr>
          <w:sz w:val="20"/>
          <w:szCs w:val="20"/>
          <w:color w:val="auto"/>
        </w:rPr>
      </w:pPr>
    </w:p>
    <w:p>
      <w:pPr>
        <w:jc w:val="both"/>
        <w:ind w:firstLine="130"/>
        <w:spacing w:after="0" w:line="238" w:lineRule="auto"/>
        <w:rPr>
          <w:sz w:val="20"/>
          <w:szCs w:val="20"/>
          <w:color w:val="auto"/>
        </w:rPr>
      </w:pPr>
      <w:r>
        <w:rPr>
          <w:rFonts w:ascii="Times New Roman" w:cs="Times New Roman" w:eastAsia="Times New Roman" w:hAnsi="Times New Roman"/>
          <w:sz w:val="22"/>
          <w:szCs w:val="22"/>
          <w:color w:val="auto"/>
        </w:rPr>
        <w:t xml:space="preserve">extent required under Section 409A. Upon the expiration of the foregoing delay period, all payments and benefits delayed pursuant to this </w:t>
      </w:r>
      <w:r>
        <w:rPr>
          <w:rFonts w:ascii="Times New Roman" w:cs="Times New Roman" w:eastAsia="Times New Roman" w:hAnsi="Times New Roman"/>
          <w:sz w:val="22"/>
          <w:szCs w:val="22"/>
          <w:b w:val="1"/>
          <w:bCs w:val="1"/>
          <w:color w:val="auto"/>
        </w:rPr>
        <w:t>Section 20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ii</w:t>
      </w:r>
      <w:r>
        <w:rPr>
          <w:rFonts w:ascii="Times New Roman" w:cs="Times New Roman" w:eastAsia="Times New Roman" w:hAnsi="Times New Roman"/>
          <w:sz w:val="22"/>
          <w:szCs w:val="22"/>
          <w:color w:val="auto"/>
        </w:rPr>
        <w:t>) (whether they would have otherwise been payable in a single sum or in installments in the absence of such delay) shall be paid or reimbursed to Executive in a lump sum on the first business day following the six-month period, and any remaining payments and benefits due under this Agreement shall be paid or provided in accordance with the normal payment dates specified for them herein.</w:t>
      </w:r>
    </w:p>
    <w:p>
      <w:pPr>
        <w:spacing w:after="0" w:line="177" w:lineRule="exact"/>
        <w:rPr>
          <w:sz w:val="20"/>
          <w:szCs w:val="20"/>
          <w:color w:val="auto"/>
        </w:rPr>
      </w:pPr>
    </w:p>
    <w:p>
      <w:pPr>
        <w:jc w:val="both"/>
        <w:ind w:firstLine="1446"/>
        <w:spacing w:after="0" w:line="235" w:lineRule="auto"/>
        <w:rPr>
          <w:sz w:val="20"/>
          <w:szCs w:val="20"/>
          <w:color w:val="auto"/>
        </w:rPr>
      </w:pPr>
      <w:r>
        <w:rPr>
          <w:rFonts w:ascii="Times New Roman" w:cs="Times New Roman" w:eastAsia="Times New Roman" w:hAnsi="Times New Roman"/>
          <w:sz w:val="22"/>
          <w:szCs w:val="22"/>
          <w:color w:val="auto"/>
        </w:rPr>
        <w:t>(ii)To the extent that reimbursements or other in-kind benefits under this Agreement constitute “nonqualified deferred compensation” for purposes of Section 409A, (A) all expenses or other reimbursements hereunder shall be made on or prior to the last day of the taxable year following the taxable year in which such expenses were incurred by Executive,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83" w:lineRule="exact"/>
        <w:rPr>
          <w:sz w:val="20"/>
          <w:szCs w:val="20"/>
          <w:color w:val="auto"/>
        </w:rPr>
      </w:pPr>
    </w:p>
    <w:p>
      <w:pPr>
        <w:jc w:val="both"/>
        <w:ind w:firstLine="1446"/>
        <w:spacing w:after="0" w:line="239" w:lineRule="auto"/>
        <w:rPr>
          <w:sz w:val="20"/>
          <w:szCs w:val="20"/>
          <w:color w:val="auto"/>
        </w:rPr>
      </w:pPr>
      <w:r>
        <w:rPr>
          <w:rFonts w:ascii="Times New Roman" w:cs="Times New Roman" w:eastAsia="Times New Roman" w:hAnsi="Times New Roman"/>
          <w:sz w:val="22"/>
          <w:szCs w:val="22"/>
          <w:color w:val="auto"/>
        </w:rPr>
        <w:t>(iii)For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at the sole discretion of the Board.</w:t>
      </w:r>
    </w:p>
    <w:p>
      <w:pPr>
        <w:spacing w:after="0" w:line="180" w:lineRule="exact"/>
        <w:rPr>
          <w:sz w:val="20"/>
          <w:szCs w:val="20"/>
          <w:color w:val="auto"/>
        </w:rPr>
      </w:pPr>
    </w:p>
    <w:p>
      <w:pPr>
        <w:jc w:val="both"/>
        <w:ind w:firstLine="1446"/>
        <w:spacing w:after="0" w:line="244" w:lineRule="auto"/>
        <w:rPr>
          <w:sz w:val="20"/>
          <w:szCs w:val="20"/>
          <w:color w:val="auto"/>
        </w:rPr>
      </w:pPr>
      <w:r>
        <w:rPr>
          <w:rFonts w:ascii="Times New Roman" w:cs="Times New Roman" w:eastAsia="Times New Roman" w:hAnsi="Times New Roman"/>
          <w:sz w:val="22"/>
          <w:szCs w:val="22"/>
          <w:color w:val="auto"/>
        </w:rPr>
        <w:t>(iv)Notwithstanding any other provision of this Agreement to the contrary, in no event shall any payment under this Agreement that constitutes “nonqualified deferred compensation” for purposes of Section 409A be subject to offset by any other amount unless otherwise permitted by Section 409A.</w:t>
      </w:r>
    </w:p>
    <w:p>
      <w:pPr>
        <w:spacing w:after="0" w:line="169" w:lineRule="exact"/>
        <w:rPr>
          <w:sz w:val="20"/>
          <w:szCs w:val="20"/>
          <w:color w:val="auto"/>
        </w:rPr>
      </w:pPr>
    </w:p>
    <w:p>
      <w:pPr>
        <w:jc w:val="both"/>
        <w:ind w:firstLine="725"/>
        <w:spacing w:after="0" w:line="234" w:lineRule="auto"/>
        <w:tabs>
          <w:tab w:leader="none" w:pos="111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PAYMENTS</w:t>
      </w:r>
      <w:r>
        <w:rPr>
          <w:rFonts w:ascii="Times New Roman" w:cs="Times New Roman" w:eastAsia="Times New Roman" w:hAnsi="Times New Roman"/>
          <w:sz w:val="22"/>
          <w:szCs w:val="22"/>
          <w:color w:val="auto"/>
        </w:rPr>
        <w:t>. In the event it shall be determined that any payment, right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distribution by Cue or any other person or entity to or for the benefit of Executive pursuant to the terms of this Agreement or otherwise, in connection with, or arising out of, Executive’s employment with Cue or a change in ownership or effective control of Cue or a substantial portion of its assets (a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is a “parachute payment” within the meaning of Code Section 280G on account of the aggregate value of the Payments due to Executive being equal to or greater than three times the “base amount,” as defined in Code Section 280G (the “</w:t>
      </w:r>
      <w:r>
        <w:rPr>
          <w:rFonts w:ascii="Times New Roman" w:cs="Times New Roman" w:eastAsia="Times New Roman" w:hAnsi="Times New Roman"/>
          <w:sz w:val="22"/>
          <w:szCs w:val="22"/>
          <w:b w:val="1"/>
          <w:bCs w:val="1"/>
          <w:color w:val="auto"/>
        </w:rPr>
        <w:t>Parachute Threshold</w:t>
      </w:r>
      <w:r>
        <w:rPr>
          <w:rFonts w:ascii="Times New Roman" w:cs="Times New Roman" w:eastAsia="Times New Roman" w:hAnsi="Times New Roman"/>
          <w:sz w:val="22"/>
          <w:szCs w:val="22"/>
          <w:color w:val="auto"/>
        </w:rPr>
        <w:t>”), so that Executive would be subject to the excise tax imposed by Code Section 4999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xml:space="preserve">”) and the net after-tax benefit that Executive would receive by reducing the Payments to the Parachute Threshold is greater than the net after-tax benefit Executive would receive if the full amount of the Payments were paid to Executive, then the Payments payable to Executive shall be reduced (but not below zero) so that the Payments due to Executive do not exceed the amount of the Parachute Threshold, reducing first any Payments under </w:t>
      </w:r>
      <w:r>
        <w:rPr>
          <w:rFonts w:ascii="Times New Roman" w:cs="Times New Roman" w:eastAsia="Times New Roman" w:hAnsi="Times New Roman"/>
          <w:sz w:val="22"/>
          <w:szCs w:val="22"/>
          <w:b w:val="1"/>
          <w:bCs w:val="1"/>
          <w:color w:val="auto"/>
        </w:rPr>
        <w:t>Section 8</w:t>
      </w:r>
      <w:r>
        <w:rPr>
          <w:rFonts w:ascii="Times New Roman" w:cs="Times New Roman" w:eastAsia="Times New Roman" w:hAnsi="Times New Roman"/>
          <w:sz w:val="22"/>
          <w:szCs w:val="22"/>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1053465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440" w:right="7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1"/>
          <w:szCs w:val="21"/>
          <w:b w:val="1"/>
          <w:bCs w:val="1"/>
          <w:color w:val="auto"/>
        </w:rPr>
        <w:t>BY SIGNING THIS AGREEMENT BELOW, EXECUTIVE ACKNOWLEDGES THAT EXECUTIVE:</w:t>
      </w:r>
    </w:p>
    <w:p>
      <w:pPr>
        <w:spacing w:after="0" w:line="218" w:lineRule="exact"/>
        <w:rPr>
          <w:sz w:val="20"/>
          <w:szCs w:val="20"/>
          <w:color w:val="auto"/>
        </w:rPr>
      </w:pPr>
    </w:p>
    <w:p>
      <w:pPr>
        <w:ind w:left="760" w:hanging="749"/>
        <w:spacing w:after="0"/>
        <w:tabs>
          <w:tab w:leader="none" w:pos="76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HAS READ AND UNDERSTOOD THE ENTIRE AGREEMENT;</w:t>
      </w:r>
    </w:p>
    <w:p>
      <w:pPr>
        <w:spacing w:after="0" w:line="71" w:lineRule="exact"/>
        <w:rPr>
          <w:rFonts w:ascii="Times New Roman" w:cs="Times New Roman" w:eastAsia="Times New Roman" w:hAnsi="Times New Roman"/>
          <w:sz w:val="22"/>
          <w:szCs w:val="22"/>
          <w:b w:val="1"/>
          <w:bCs w:val="1"/>
          <w:color w:val="auto"/>
        </w:rPr>
      </w:pPr>
    </w:p>
    <w:p>
      <w:pPr>
        <w:ind w:left="-740" w:right="1920" w:firstLine="751"/>
        <w:spacing w:after="0" w:line="286" w:lineRule="auto"/>
        <w:tabs>
          <w:tab w:leader="none" w:pos="758" w:val="left"/>
        </w:tabs>
        <w:numPr>
          <w:ilvl w:val="0"/>
          <w:numId w:val="1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HAS HAD THE OPPORTUNITY TO ASK QUESTIONS AND CONSULT COUNSEL OR OTHER ADVISORS ABOUT THE AGREEMENT’S TERMS; AND</w:t>
      </w:r>
    </w:p>
    <w:p>
      <w:pPr>
        <w:spacing w:after="0" w:line="126" w:lineRule="exact"/>
        <w:rPr>
          <w:rFonts w:ascii="Times New Roman" w:cs="Times New Roman" w:eastAsia="Times New Roman" w:hAnsi="Times New Roman"/>
          <w:sz w:val="21"/>
          <w:szCs w:val="21"/>
          <w:b w:val="1"/>
          <w:bCs w:val="1"/>
          <w:color w:val="auto"/>
        </w:rPr>
      </w:pPr>
    </w:p>
    <w:p>
      <w:pPr>
        <w:ind w:left="760" w:hanging="749"/>
        <w:spacing w:after="0"/>
        <w:tabs>
          <w:tab w:leader="none" w:pos="76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AGREES TO BE BOUND BY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1072515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20"/>
          </w:cols>
          <w:pgMar w:left="1440" w:top="1310" w:right="839" w:bottom="1440" w:gutter="0" w:footer="0" w:header="0"/>
        </w:sectPr>
      </w:pPr>
    </w:p>
    <w:bookmarkStart w:id="175" w:name="page176"/>
    <w:bookmarkEnd w:id="175"/>
    <w:p>
      <w:pPr>
        <w:jc w:val="both"/>
        <w:ind w:left="380" w:right="380" w:firstLine="74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Cue has caused this Agreement to be executed in its name and on its behalf,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acknowledges understanding and acceptance of, and agrees to, the terms of this Agreement, all as of the Effective Date.</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CUE BIOPHARMA, INC.</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 Daniel Passeri</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 Lucinda Warren</w:t>
            </w:r>
          </w:p>
        </w:tc>
      </w:tr>
      <w:tr>
        <w:trPr>
          <w:trHeight w:val="228"/>
        </w:trPr>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Daniel Passeri</w:t>
            </w:r>
          </w:p>
        </w:tc>
        <w:tc>
          <w:tcPr>
            <w:tcW w:w="220" w:type="dxa"/>
            <w:vAlign w:val="bottom"/>
          </w:tcPr>
          <w:p>
            <w:pPr>
              <w:spacing w:after="0"/>
              <w:rPr>
                <w:sz w:val="19"/>
                <w:szCs w:val="19"/>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Lucinda Warren</w:t>
            </w:r>
          </w:p>
        </w:tc>
      </w:tr>
      <w:tr>
        <w:trPr>
          <w:trHeight w:val="22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 Chief Business Officer</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5130800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6" w:name="page177"/>
    <w:bookmarkEnd w:id="176"/>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to Employment Agreement</w:t>
      </w:r>
    </w:p>
    <w:p>
      <w:pPr>
        <w:spacing w:after="0" w:line="193" w:lineRule="exact"/>
        <w:rPr>
          <w:sz w:val="20"/>
          <w:szCs w:val="20"/>
          <w:color w:val="auto"/>
        </w:rPr>
      </w:pPr>
    </w:p>
    <w:p>
      <w:pPr>
        <w:jc w:val="both"/>
        <w:ind w:right="460" w:firstLine="749"/>
        <w:spacing w:after="0" w:line="246" w:lineRule="auto"/>
        <w:rPr>
          <w:sz w:val="20"/>
          <w:szCs w:val="20"/>
          <w:color w:val="auto"/>
        </w:rPr>
      </w:pPr>
      <w:r>
        <w:rPr>
          <w:rFonts w:ascii="Times New Roman" w:cs="Times New Roman" w:eastAsia="Times New Roman" w:hAnsi="Times New Roman"/>
          <w:sz w:val="22"/>
          <w:szCs w:val="22"/>
          <w:color w:val="auto"/>
        </w:rPr>
        <w:t>This Amendment (the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effective as of December 30th 2025 (the “</w:t>
      </w:r>
      <w:r>
        <w:rPr>
          <w:rFonts w:ascii="Times New Roman" w:cs="Times New Roman" w:eastAsia="Times New Roman" w:hAnsi="Times New Roman"/>
          <w:sz w:val="22"/>
          <w:szCs w:val="22"/>
          <w:b w:val="1"/>
          <w:bCs w:val="1"/>
          <w:color w:val="auto"/>
        </w:rPr>
        <w:t>Amendment Date</w:t>
      </w:r>
      <w:r>
        <w:rPr>
          <w:rFonts w:ascii="Times New Roman" w:cs="Times New Roman" w:eastAsia="Times New Roman" w:hAnsi="Times New Roman"/>
          <w:sz w:val="22"/>
          <w:szCs w:val="22"/>
          <w:color w:val="auto"/>
        </w:rPr>
        <w:t>”), amends that certain Executive Employment Agreement by and between Cue Biopharma,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Lucinda Warren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dated September 1, 2024 (the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desire to amend the term of the Employment Agreement;</w:t>
      </w:r>
    </w:p>
    <w:p>
      <w:pPr>
        <w:spacing w:after="0" w:line="193" w:lineRule="exact"/>
        <w:rPr>
          <w:sz w:val="20"/>
          <w:szCs w:val="20"/>
          <w:color w:val="auto"/>
        </w:rPr>
      </w:pPr>
    </w:p>
    <w:p>
      <w:pPr>
        <w:jc w:val="both"/>
        <w:ind w:left="380" w:right="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promises contained herein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is hereby acknowledged, the Executive and the Company hereby agree to the following change to the Employment Agreement, effective as of the Amendment Date:</w:t>
      </w:r>
    </w:p>
    <w:p>
      <w:pPr>
        <w:spacing w:after="0" w:line="171" w:lineRule="exact"/>
        <w:rPr>
          <w:sz w:val="20"/>
          <w:szCs w:val="20"/>
          <w:color w:val="auto"/>
        </w:rPr>
      </w:pPr>
    </w:p>
    <w:p>
      <w:pPr>
        <w:ind w:left="1480" w:right="840" w:hanging="349"/>
        <w:spacing w:after="0" w:line="239" w:lineRule="auto"/>
        <w:tabs>
          <w:tab w:leader="none" w:pos="14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 of the Employment Agreement shall be deemed deleted in its entirety and replaced with the following: “This Agreement shall have a term that begins on September 1, 2024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and continues until September 30, 2026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xml:space="preserve">”) unless the Term is extended in writing by the Parties or terminated sooner in accordance with </w:t>
      </w:r>
      <w:r>
        <w:rPr>
          <w:rFonts w:ascii="Times New Roman" w:cs="Times New Roman" w:eastAsia="Times New Roman" w:hAnsi="Times New Roman"/>
          <w:sz w:val="22"/>
          <w:szCs w:val="22"/>
          <w:b w:val="1"/>
          <w:bCs w:val="1"/>
          <w:color w:val="auto"/>
        </w:rPr>
        <w:t>Section 7</w:t>
      </w:r>
      <w:r>
        <w:rPr>
          <w:rFonts w:ascii="Times New Roman" w:cs="Times New Roman" w:eastAsia="Times New Roman" w:hAnsi="Times New Roman"/>
          <w:sz w:val="22"/>
          <w:szCs w:val="22"/>
          <w:color w:val="auto"/>
        </w:rPr>
        <w:t xml:space="preserve"> below.”</w:t>
      </w:r>
    </w:p>
    <w:p>
      <w:pPr>
        <w:spacing w:after="0" w:line="200" w:lineRule="exact"/>
        <w:rPr>
          <w:rFonts w:ascii="Times New Roman" w:cs="Times New Roman" w:eastAsia="Times New Roman" w:hAnsi="Times New Roman"/>
          <w:sz w:val="22"/>
          <w:szCs w:val="22"/>
          <w:color w:val="auto"/>
        </w:rPr>
      </w:pPr>
    </w:p>
    <w:p>
      <w:pPr>
        <w:spacing w:after="0" w:line="223" w:lineRule="exact"/>
        <w:rPr>
          <w:rFonts w:ascii="Times New Roman" w:cs="Times New Roman" w:eastAsia="Times New Roman" w:hAnsi="Times New Roman"/>
          <w:sz w:val="22"/>
          <w:szCs w:val="22"/>
          <w:color w:val="auto"/>
        </w:rPr>
      </w:pPr>
    </w:p>
    <w:p>
      <w:pPr>
        <w:ind w:left="1480" w:right="860" w:hanging="349"/>
        <w:spacing w:after="0" w:line="258" w:lineRule="auto"/>
        <w:tabs>
          <w:tab w:leader="none" w:pos="14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modified herein, all terms of the Employment Agreement shall remain in full force and effect.</w:t>
      </w:r>
    </w:p>
    <w:p>
      <w:pPr>
        <w:spacing w:after="0" w:line="1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Amendment as of the day and year set forth below.</w:t>
      </w:r>
    </w:p>
    <w:p>
      <w:pPr>
        <w:spacing w:after="0" w:line="3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CUE BIOPHARMA, INC.</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 Usman Azam</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 Lucinda Warren</w:t>
            </w:r>
          </w:p>
        </w:tc>
      </w:tr>
      <w:tr>
        <w:trPr>
          <w:trHeight w:val="228"/>
        </w:trPr>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By: Usman Azam</w:t>
            </w:r>
          </w:p>
        </w:tc>
        <w:tc>
          <w:tcPr>
            <w:tcW w:w="220" w:type="dxa"/>
            <w:vAlign w:val="bottom"/>
          </w:tcPr>
          <w:p>
            <w:pPr>
              <w:spacing w:after="0"/>
              <w:rPr>
                <w:sz w:val="19"/>
                <w:szCs w:val="19"/>
                <w:color w:val="auto"/>
              </w:rPr>
            </w:pPr>
          </w:p>
        </w:tc>
        <w:tc>
          <w:tcPr>
            <w:tcW w:w="5500" w:type="dxa"/>
            <w:vAlign w:val="bottom"/>
            <w:tcBorders>
              <w:top w:val="single" w:sz="8" w:color="auto"/>
            </w:tcBorders>
          </w:tcPr>
          <w:p>
            <w:pPr>
              <w:spacing w:after="0"/>
              <w:rPr>
                <w:sz w:val="19"/>
                <w:szCs w:val="19"/>
                <w:color w:val="auto"/>
              </w:rPr>
            </w:pPr>
          </w:p>
        </w:tc>
      </w:tr>
      <w:tr>
        <w:trPr>
          <w:trHeight w:val="22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CEO</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12/30/2025</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12/30/2025</w:t>
            </w:r>
          </w:p>
        </w:tc>
      </w:tr>
      <w:tr>
        <w:trPr>
          <w:trHeight w:val="999"/>
        </w:trPr>
        <w:tc>
          <w:tcPr>
            <w:tcW w:w="552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 Employment Agreement</w:t>
      </w:r>
    </w:p>
    <w:p>
      <w:pPr>
        <w:spacing w:after="0" w:line="206" w:lineRule="exact"/>
        <w:rPr>
          <w:sz w:val="20"/>
          <w:szCs w:val="20"/>
          <w:color w:val="auto"/>
        </w:rPr>
      </w:pPr>
    </w:p>
    <w:p>
      <w:pPr>
        <w:ind w:right="460" w:firstLine="749"/>
        <w:spacing w:after="0" w:line="241" w:lineRule="auto"/>
        <w:rPr>
          <w:sz w:val="20"/>
          <w:szCs w:val="20"/>
          <w:color w:val="auto"/>
        </w:rPr>
      </w:pPr>
      <w:r>
        <w:rPr>
          <w:rFonts w:ascii="Times New Roman" w:cs="Times New Roman" w:eastAsia="Times New Roman" w:hAnsi="Times New Roman"/>
          <w:sz w:val="22"/>
          <w:szCs w:val="22"/>
          <w:color w:val="auto"/>
        </w:rPr>
        <w:t>This Second Amendment (the “</w:t>
      </w:r>
      <w:r>
        <w:rPr>
          <w:rFonts w:ascii="Times New Roman" w:cs="Times New Roman" w:eastAsia="Times New Roman" w:hAnsi="Times New Roman"/>
          <w:sz w:val="22"/>
          <w:szCs w:val="22"/>
          <w:b w:val="1"/>
          <w:bCs w:val="1"/>
          <w:color w:val="auto"/>
        </w:rPr>
        <w:t>Second Amendment</w:t>
      </w:r>
      <w:r>
        <w:rPr>
          <w:rFonts w:ascii="Times New Roman" w:cs="Times New Roman" w:eastAsia="Times New Roman" w:hAnsi="Times New Roman"/>
          <w:sz w:val="22"/>
          <w:szCs w:val="22"/>
          <w:color w:val="auto"/>
        </w:rPr>
        <w:t>”), effective as of February 9, 2026 (the “</w:t>
      </w:r>
      <w:r>
        <w:rPr>
          <w:rFonts w:ascii="Times New Roman" w:cs="Times New Roman" w:eastAsia="Times New Roman" w:hAnsi="Times New Roman"/>
          <w:sz w:val="22"/>
          <w:szCs w:val="22"/>
          <w:b w:val="1"/>
          <w:bCs w:val="1"/>
          <w:color w:val="auto"/>
        </w:rPr>
        <w:t>Second 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amends that certain Executive Employment Agreement by and between Cue Biopharma,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Lucinda Warren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dated September 1, 2024, as amended December 30, 2025 (together, the “</w:t>
      </w:r>
      <w:r>
        <w:rPr>
          <w:rFonts w:ascii="Times New Roman" w:cs="Times New Roman" w:eastAsia="Times New Roman" w:hAnsi="Times New Roman"/>
          <w:sz w:val="22"/>
          <w:szCs w:val="22"/>
          <w:b w:val="1"/>
          <w:bCs w:val="1"/>
          <w:color w:val="auto"/>
        </w:rPr>
        <w:t>Employment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380" w:right="3600" w:firstLine="376"/>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desire to amend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to reflect the Executive’s new job title;</w:t>
      </w:r>
    </w:p>
    <w:p>
      <w:pPr>
        <w:spacing w:after="0" w:line="150" w:lineRule="exact"/>
        <w:rPr>
          <w:sz w:val="20"/>
          <w:szCs w:val="20"/>
          <w:color w:val="auto"/>
        </w:rPr>
      </w:pPr>
    </w:p>
    <w:p>
      <w:pPr>
        <w:jc w:val="both"/>
        <w:ind w:left="380" w:right="44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promises contained herein and other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is hereby acknowledged, the Executive and the Company hereby agree to the following, effective as of the Second Amendment Date:</w:t>
      </w:r>
    </w:p>
    <w:p>
      <w:pPr>
        <w:spacing w:after="0" w:line="171" w:lineRule="exact"/>
        <w:rPr>
          <w:sz w:val="20"/>
          <w:szCs w:val="20"/>
          <w:color w:val="auto"/>
        </w:rPr>
      </w:pPr>
    </w:p>
    <w:p>
      <w:pPr>
        <w:ind w:left="1500" w:right="420" w:hanging="369"/>
        <w:spacing w:after="0" w:line="251" w:lineRule="auto"/>
        <w:tabs>
          <w:tab w:leader="none" w:pos="150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shall serve as the Company’s Chief Financial &amp; Business Officer (“CFBO”). As of the Second Amendment Date, all references in the Employment Agreement to the Executive’s role as the Company’s “Chief Business Officer” shall be deemed replaced with references to the Executive’s role as its “Chief Financial &amp; Business Officer” and all references in the Employment Agreement to the Executive as the Company’s “CBO” shall be deemed replaced with references to the Executive as its “CFBO”.</w:t>
      </w:r>
    </w:p>
    <w:p>
      <w:pPr>
        <w:spacing w:after="0" w:line="200" w:lineRule="exact"/>
        <w:rPr>
          <w:rFonts w:ascii="Times New Roman" w:cs="Times New Roman" w:eastAsia="Times New Roman" w:hAnsi="Times New Roman"/>
          <w:sz w:val="21"/>
          <w:szCs w:val="21"/>
          <w:color w:val="auto"/>
        </w:rPr>
      </w:pPr>
    </w:p>
    <w:p>
      <w:pPr>
        <w:spacing w:after="0" w:line="211" w:lineRule="exact"/>
        <w:rPr>
          <w:rFonts w:ascii="Times New Roman" w:cs="Times New Roman" w:eastAsia="Times New Roman" w:hAnsi="Times New Roman"/>
          <w:sz w:val="21"/>
          <w:szCs w:val="21"/>
          <w:color w:val="auto"/>
        </w:rPr>
      </w:pPr>
    </w:p>
    <w:p>
      <w:pPr>
        <w:ind w:left="1480" w:right="860" w:hanging="349"/>
        <w:spacing w:after="0" w:line="258" w:lineRule="auto"/>
        <w:tabs>
          <w:tab w:leader="none" w:pos="14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modified herein, all terms of the Employment Agreement shall remain in full force and effect.</w:t>
      </w:r>
    </w:p>
    <w:p>
      <w:pPr>
        <w:spacing w:after="0" w:line="158" w:lineRule="exact"/>
        <w:rPr>
          <w:sz w:val="20"/>
          <w:szCs w:val="20"/>
          <w:color w:val="auto"/>
        </w:rPr>
      </w:pPr>
    </w:p>
    <w:p>
      <w:pPr>
        <w:ind w:left="380" w:right="360"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Second Amendment as of the day and year set forth below.</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CUE BIOPHARMA, INC.</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 Usman Azam</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 Lucinda Warren</w:t>
            </w:r>
          </w:p>
        </w:tc>
      </w:tr>
      <w:tr>
        <w:trPr>
          <w:trHeight w:val="228"/>
        </w:trPr>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By: Usman Azam</w:t>
            </w:r>
          </w:p>
        </w:tc>
        <w:tc>
          <w:tcPr>
            <w:tcW w:w="220" w:type="dxa"/>
            <w:vAlign w:val="bottom"/>
          </w:tcPr>
          <w:p>
            <w:pPr>
              <w:spacing w:after="0"/>
              <w:rPr>
                <w:sz w:val="19"/>
                <w:szCs w:val="19"/>
                <w:color w:val="auto"/>
              </w:rPr>
            </w:pPr>
          </w:p>
        </w:tc>
        <w:tc>
          <w:tcPr>
            <w:tcW w:w="5500" w:type="dxa"/>
            <w:vAlign w:val="bottom"/>
            <w:tcBorders>
              <w:top w:val="single" w:sz="8" w:color="auto"/>
            </w:tcBorders>
          </w:tcPr>
          <w:p>
            <w:pPr>
              <w:spacing w:after="0"/>
              <w:rPr>
                <w:sz w:val="19"/>
                <w:szCs w:val="19"/>
                <w:color w:val="auto"/>
              </w:rPr>
            </w:pPr>
          </w:p>
        </w:tc>
      </w:tr>
      <w:tr>
        <w:trPr>
          <w:trHeight w:val="22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CEO</w:t>
            </w: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2/18/2026</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2/18/2026</w:t>
            </w:r>
          </w:p>
        </w:tc>
      </w:tr>
      <w:tr>
        <w:trPr>
          <w:trHeight w:val="2545"/>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10.28</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SEPARATION AND RELEASE OF CLAIMS AGREEMENT</w:t>
      </w:r>
    </w:p>
    <w:p>
      <w:pPr>
        <w:spacing w:after="0" w:line="328" w:lineRule="exact"/>
        <w:rPr>
          <w:sz w:val="20"/>
          <w:szCs w:val="20"/>
          <w:color w:val="auto"/>
        </w:rPr>
      </w:pPr>
    </w:p>
    <w:p>
      <w:pPr>
        <w:ind w:right="520" w:firstLine="749"/>
        <w:spacing w:after="0" w:line="295" w:lineRule="auto"/>
        <w:rPr>
          <w:sz w:val="20"/>
          <w:szCs w:val="20"/>
          <w:color w:val="auto"/>
        </w:rPr>
      </w:pPr>
      <w:r>
        <w:rPr>
          <w:rFonts w:ascii="Times New Roman" w:cs="Times New Roman" w:eastAsia="Times New Roman" w:hAnsi="Times New Roman"/>
          <w:sz w:val="19"/>
          <w:szCs w:val="19"/>
          <w:color w:val="auto"/>
        </w:rPr>
        <w:t>This Separation and Release of Claims Agreement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is made as of the Agreement Effective Date (as defined below) by and between Cue Biopharma,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Matteo Levisetti, M.D.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 (together, the “</w:t>
      </w:r>
      <w:r>
        <w:rPr>
          <w:rFonts w:ascii="Times New Roman" w:cs="Times New Roman" w:eastAsia="Times New Roman" w:hAnsi="Times New Roman"/>
          <w:sz w:val="19"/>
          <w:szCs w:val="19"/>
          <w:u w:val="single" w:color="auto"/>
          <w:color w:val="auto"/>
        </w:rPr>
        <w:t>Parties</w:t>
      </w:r>
      <w:r>
        <w:rPr>
          <w:rFonts w:ascii="Times New Roman" w:cs="Times New Roman" w:eastAsia="Times New Roman" w:hAnsi="Times New Roman"/>
          <w:sz w:val="19"/>
          <w:szCs w:val="19"/>
          <w:color w:val="auto"/>
        </w:rPr>
        <w:t>”).</w:t>
      </w:r>
    </w:p>
    <w:p>
      <w:pPr>
        <w:spacing w:after="0" w:line="26" w:lineRule="exact"/>
        <w:rPr>
          <w:sz w:val="20"/>
          <w:szCs w:val="20"/>
          <w:color w:val="auto"/>
        </w:rPr>
      </w:pPr>
    </w:p>
    <w:p>
      <w:pPr>
        <w:ind w:right="620" w:firstLine="749"/>
        <w:spacing w:after="0" w:line="300"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and Executive are parties to an Amended and Restated Executive Employment Agreement dated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January 17, 2023 (the “</w:t>
      </w:r>
      <w:r>
        <w:rPr>
          <w:rFonts w:ascii="Times New Roman" w:cs="Times New Roman" w:eastAsia="Times New Roman" w:hAnsi="Times New Roman"/>
          <w:sz w:val="19"/>
          <w:szCs w:val="19"/>
          <w:u w:val="single" w:color="auto"/>
          <w:color w:val="auto"/>
        </w:rPr>
        <w:t>Employment Agreement</w:t>
      </w:r>
      <w:r>
        <w:rPr>
          <w:rFonts w:ascii="Times New Roman" w:cs="Times New Roman" w:eastAsia="Times New Roman" w:hAnsi="Times New Roman"/>
          <w:sz w:val="19"/>
          <w:szCs w:val="19"/>
          <w:color w:val="auto"/>
        </w:rPr>
        <w:t>”), pursuant to which Executive serves as the Company’s Chief Medical Officer;</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Executive’s last day of employment with the Company will be November 28, 2025 (the “</w:t>
      </w:r>
      <w:r>
        <w:rPr>
          <w:rFonts w:ascii="Times New Roman" w:cs="Times New Roman" w:eastAsia="Times New Roman" w:hAnsi="Times New Roman"/>
          <w:sz w:val="20"/>
          <w:szCs w:val="20"/>
          <w:u w:val="single" w:color="auto"/>
          <w:color w:val="auto"/>
        </w:rPr>
        <w:t>Separation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Parties wish to establish mutually agreeable terms for Executive’s separation from the Company; and</w:t>
      </w:r>
    </w:p>
    <w:p>
      <w:pPr>
        <w:spacing w:after="0" w:line="216" w:lineRule="exact"/>
        <w:rPr>
          <w:sz w:val="20"/>
          <w:szCs w:val="20"/>
          <w:color w:val="auto"/>
        </w:rPr>
      </w:pPr>
    </w:p>
    <w:p>
      <w:pPr>
        <w:ind w:right="16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Parties agree that the benefits and rights set forth in this Agreement shall be the exclusive benefits and rights due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w:t>
      </w:r>
    </w:p>
    <w:p>
      <w:pPr>
        <w:spacing w:after="0" w:line="152" w:lineRule="exact"/>
        <w:rPr>
          <w:sz w:val="20"/>
          <w:szCs w:val="20"/>
          <w:color w:val="auto"/>
        </w:rPr>
      </w:pPr>
    </w:p>
    <w:p>
      <w:pPr>
        <w:ind w:right="6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agreements contained herein, and for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are hereby acknowledged, the Parties hereby agree as follows:</w:t>
      </w:r>
    </w:p>
    <w:p>
      <w:pPr>
        <w:spacing w:after="0" w:line="152" w:lineRule="exact"/>
        <w:rPr>
          <w:sz w:val="20"/>
          <w:szCs w:val="20"/>
          <w:color w:val="auto"/>
        </w:rPr>
      </w:pPr>
    </w:p>
    <w:p>
      <w:pPr>
        <w:ind w:left="760" w:right="120" w:hanging="752"/>
        <w:spacing w:after="0" w:line="242" w:lineRule="auto"/>
        <w:tabs>
          <w:tab w:leader="none" w:pos="7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Separation; Resignation; Transition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As of the Separation Date, Executive’s employment will end. In connection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separation from employment, all salary payments from the Company will cease as of the Separation Date and any benefits Executive had as of the Separation Date under benefit plans, programs, or practices of the Company will terminate, except as required by federal or state law. Executive hereby acknowledges and agrees that, pursuant to Section 9(d) of the Employment Agreement, as of the Separation Date he shall automatically be deemed to have resigned from all positions he holds as an officer, director or fiduciary of the Company and any other entity that is part of the same consolidated group as the Company or in which capacity Executive serves at the direction of or as a result of his position with the Company. Executive further acknowledges and agrees that he will, within 10 days following the Separation Date, take all actions as may be necessary under applicable law or requested by the Company to effect such resignations. Executive acknowledges that the period between the Receipt Date (as defined below) and the Separation Date shall be a transition period, during which he will be required to perform only those transition-related duties as the Company may request, including, without limitation, transitioning his work to the Company’s Medical Director and Head of Clinical Operations.</w:t>
      </w:r>
    </w:p>
    <w:p>
      <w:pPr>
        <w:spacing w:after="0" w:line="200" w:lineRule="exact"/>
        <w:rPr>
          <w:rFonts w:ascii="Times New Roman" w:cs="Times New Roman" w:eastAsia="Times New Roman" w:hAnsi="Times New Roman"/>
          <w:sz w:val="20"/>
          <w:szCs w:val="20"/>
          <w:color w:val="auto"/>
        </w:rPr>
      </w:pPr>
    </w:p>
    <w:p>
      <w:pPr>
        <w:ind w:left="760" w:hanging="752"/>
        <w:spacing w:after="0" w:line="266" w:lineRule="auto"/>
        <w:tabs>
          <w:tab w:leader="none" w:pos="76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Severance Benefits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Provided Executive (a) signs and returns this Agreement no later than the Return Date (as defined in Section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11 below), (b) does not revoke his acceptance of this Agreement during the Revocation Period (as defined in Section 11 below), and</w:t>
      </w:r>
    </w:p>
    <w:p>
      <w:pPr>
        <w:ind w:left="760" w:right="10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(c) abides by all of his obligations in this Agreement, the Company will, in exchange for Executive’s commitments and obligations set forth herein, provide Executive with the following severance benefits (the “</w:t>
      </w: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9" w:name="page180"/>
    <w:bookmarkEnd w:id="179"/>
    <w:p>
      <w:pPr>
        <w:ind w:left="1492" w:hanging="369"/>
        <w:spacing w:after="0" w:line="247" w:lineRule="auto"/>
        <w:tabs>
          <w:tab w:leader="none" w:pos="149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Severance Pay </w:t>
      </w:r>
      <w:r>
        <w:rPr>
          <w:rFonts w:ascii="Times New Roman" w:cs="Times New Roman" w:eastAsia="Times New Roman" w:hAnsi="Times New Roman"/>
          <w:sz w:val="20"/>
          <w:szCs w:val="20"/>
          <w:color w:val="auto"/>
        </w:rPr>
        <w:t>– The Company will pay to Executive $556,837.60, less all applicable taxes and withholdings,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severance pay (which amount constitutes (x) a pro-rated (based on the Separation Date) amount of Executive’s target 2025 Annual Bonus (as defined in the Employment Agreement), plus (y) 9 months of Executive’s Base Salary (as defined in the Employment Agreement). This severance pay will be paid in one lump sum in the Company’s first regular payroll cycle that follows the Agreement Effective Date (as defined below).</w:t>
      </w:r>
    </w:p>
    <w:p>
      <w:pPr>
        <w:spacing w:after="0" w:line="180" w:lineRule="exact"/>
        <w:rPr>
          <w:rFonts w:ascii="Times New Roman" w:cs="Times New Roman" w:eastAsia="Times New Roman" w:hAnsi="Times New Roman"/>
          <w:sz w:val="20"/>
          <w:szCs w:val="20"/>
          <w:color w:val="auto"/>
        </w:rPr>
      </w:pPr>
    </w:p>
    <w:p>
      <w:pPr>
        <w:ind w:left="1492" w:right="20" w:hanging="369"/>
        <w:spacing w:after="0" w:line="246" w:lineRule="auto"/>
        <w:tabs>
          <w:tab w:leader="none" w:pos="149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COBRA Benefits </w:t>
      </w:r>
      <w:r>
        <w:rPr>
          <w:rFonts w:ascii="Times New Roman" w:cs="Times New Roman" w:eastAsia="Times New Roman" w:hAnsi="Times New Roman"/>
          <w:sz w:val="20"/>
          <w:szCs w:val="20"/>
          <w:color w:val="auto"/>
        </w:rPr>
        <w:t>– Should Executive be eligible for and timely elect to continue receiving group health insurance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coverage under the law known as COBRA, the Company will, commencing on the Separation Date and continuing until the earliest of (x) 9 months following the Separation Date, (y) the date Executive obtains new employment that offers health and/or dental insurance that is reasonably comparable to that offered by the Company, and (z) the date COBRA continuation coverage would otherwise terminate in accordance with the provisions of COBRA, pay the full premiums for such coverage.</w:t>
      </w:r>
    </w:p>
    <w:p>
      <w:pPr>
        <w:spacing w:after="0" w:line="183" w:lineRule="exact"/>
        <w:rPr>
          <w:sz w:val="20"/>
          <w:szCs w:val="20"/>
          <w:color w:val="auto"/>
        </w:rPr>
      </w:pPr>
    </w:p>
    <w:p>
      <w:pPr>
        <w:ind w:left="752"/>
        <w:spacing w:after="0" w:line="249" w:lineRule="auto"/>
        <w:rPr>
          <w:sz w:val="20"/>
          <w:szCs w:val="20"/>
          <w:color w:val="auto"/>
        </w:rPr>
      </w:pPr>
      <w:r>
        <w:rPr>
          <w:rFonts w:ascii="Times New Roman" w:cs="Times New Roman" w:eastAsia="Times New Roman" w:hAnsi="Times New Roman"/>
          <w:sz w:val="20"/>
          <w:szCs w:val="20"/>
          <w:color w:val="auto"/>
        </w:rPr>
        <w:t>Executive acknowledges that the Severance Benefits satisfy the Company’s obligations under the Employment Agreement, and that he will not be eligible for, nor shall he have a right to receive, any payments or benefits from the Company following the Separation Date other than as set forth in this Section 2. Executive further acknowledges that his right to receive and retain the Severance Benefits is contingent upon his timely and full compliance with all of his obligations set forth in this Agreement.</w:t>
      </w:r>
    </w:p>
    <w:p>
      <w:pPr>
        <w:spacing w:after="0" w:line="68" w:lineRule="exact"/>
        <w:rPr>
          <w:sz w:val="20"/>
          <w:szCs w:val="20"/>
          <w:color w:val="auto"/>
        </w:rPr>
      </w:pPr>
    </w:p>
    <w:p>
      <w:pPr>
        <w:ind w:left="752" w:hanging="752"/>
        <w:spacing w:after="0" w:line="254" w:lineRule="auto"/>
        <w:tabs>
          <w:tab w:leader="none" w:pos="752"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Release of Claims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In exchange for Executive’s eligibility to receive the Severance Benefits, which Executive acknowledges 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would not otherwise be entitled to receive, Executive hereby fully, forever, irrevocably and unconditionally releases, remises and discharges the Company, its past and present affiliates, joint employers (including any professional employer organization or employer of record), subsidiaries, parent companies, predecessors, and successors, and all of their respective past and present officers, directors, stockholders, partners, members, employees, agents, representatives, plan administrators, attorneys, insurers and fiduciaries (each in their individual and corporate capacities) (collectively, the “</w:t>
      </w:r>
      <w:r>
        <w:rPr>
          <w:rFonts w:ascii="Times New Roman" w:cs="Times New Roman" w:eastAsia="Times New Roman" w:hAnsi="Times New Roman"/>
          <w:sz w:val="19"/>
          <w:szCs w:val="19"/>
          <w:u w:val="single" w:color="auto"/>
          <w:color w:val="auto"/>
        </w:rPr>
        <w:t>Released Parties</w:t>
      </w:r>
      <w:r>
        <w:rPr>
          <w:rFonts w:ascii="Times New Roman" w:cs="Times New Roman" w:eastAsia="Times New Roman" w:hAnsi="Times New Roman"/>
          <w:sz w:val="19"/>
          <w:szCs w:val="19"/>
          <w:color w:val="auto"/>
        </w:rPr>
        <w:t xml:space="preserve">”)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he ever had or now has against any or all of the Released Parties, whether known or unknown, including, but not limited to, any and all claims arising out of or relating to Executive’s employment with and/or separation from the Company, including, but not limited to, all claims under Title VII of the Civil Rights Act of 1964, 42 U.S.C. § 2000e et seq., the Americans With Disabilities Act of 1990, 42 U.S.C. § 12101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Age Discrimination in Employment Act (“ADEA”), 29 U.S.C. § 621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Genetic Information Nondiscrimination Act of 2008, 42 U.S.C. § 2000ff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Family and Medical Leave Act, 29 U.S.C. § 2601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Worker Adjustment and Retraining Notification Act (“WARN”), 29 U.S.C. § 2101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Rehabilitation Act of 1973, 29 U.S.C. § 701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Executive Order 11246, Executive Order 11141, the Fair Credit Reporting Act, 15 U.S.C. § 1681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and the Employee Retirement Income Security Act of 1974 (“ERISA”), 29 U.S.C. § 1001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all as amended; all claims arising out of the Massachusetts Fair Employment Practices Act, Mass. Gen. Laws ch. 151B, § 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xml:space="preserve">, the Massachusetts Civil Rights Act, Mass. Gen. Laws ch. 12, §§ 11H and 11I, the Massachusetts Equal Rights Act, Mass. Gen. Laws. ch. 93, § 102, Mass. Gen. Laws ch. 214, § 1C (Massachusetts right to be free from sexual harassment law), the Massachusetts Labor and Industries Act, Mass. Gen. Laws ch. 149, § 1 </w:t>
      </w:r>
      <w:r>
        <w:rPr>
          <w:rFonts w:ascii="Times New Roman" w:cs="Times New Roman" w:eastAsia="Times New Roman" w:hAnsi="Times New Roman"/>
          <w:sz w:val="19"/>
          <w:szCs w:val="19"/>
          <w:u w:val="single" w:color="auto"/>
          <w:color w:val="auto"/>
        </w:rPr>
        <w:t>et seq.</w:t>
      </w:r>
      <w:r>
        <w:rPr>
          <w:rFonts w:ascii="Times New Roman" w:cs="Times New Roman" w:eastAsia="Times New Roman" w:hAnsi="Times New Roman"/>
          <w:sz w:val="19"/>
          <w:szCs w:val="19"/>
          <w:color w:val="auto"/>
        </w:rPr>
        <w:t>, Mass. Gen. Laws ch. 214, §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-1195705</wp:posOffset>
            </wp:positionV>
            <wp:extent cx="3524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9">
                      <a:extLst>
                        <a:ext uri="{28A0092B-C50C-407E-A947-70E740481C1C}"/>
                      </a:extLst>
                    </a:blip>
                    <a:srcRect/>
                    <a:stretch>
                      <a:fillRect/>
                    </a:stretch>
                  </pic:blipFill>
                  <pic:spPr bwMode="auto">
                    <a:xfrm>
                      <a:off x="0" y="0"/>
                      <a:ext cx="352425" cy="8255"/>
                    </a:xfrm>
                    <a:prstGeom prst="rect">
                      <a:avLst/>
                    </a:prstGeom>
                    <a:noFill/>
                  </pic:spPr>
                </pic:pic>
              </a:graphicData>
            </a:graphic>
          </wp:anchor>
        </w:drawing>
      </w:r>
    </w:p>
    <w:p>
      <w:pPr>
        <w:spacing w:after="0" w:line="3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632460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09" w:right="359" w:bottom="1440" w:gutter="0" w:footer="0" w:header="0"/>
        </w:sectPr>
      </w:pPr>
    </w:p>
    <w:bookmarkStart w:id="180" w:name="page181"/>
    <w:bookmarkEnd w:id="180"/>
    <w:p>
      <w:pPr>
        <w:ind w:left="760"/>
        <w:spacing w:after="0"/>
        <w:rPr>
          <w:sz w:val="20"/>
          <w:szCs w:val="20"/>
          <w:color w:val="auto"/>
        </w:rPr>
      </w:pPr>
      <w:r>
        <w:rPr>
          <w:rFonts w:ascii="Times New Roman" w:cs="Times New Roman" w:eastAsia="Times New Roman" w:hAnsi="Times New Roman"/>
          <w:sz w:val="20"/>
          <w:szCs w:val="20"/>
          <w:color w:val="auto"/>
        </w:rPr>
        <w:t xml:space="preserve">(Massachusetts right of privacy law), the Massachusetts Parental Leave Act, Mass. Gen. Laws ch. 149, § 105D, the Massachusetts Paid Family and Medical Leave Act, Mass. Gen. Laws ch. 175m, § 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Massachusetts Earned Sick Time Law, Mass. Gen. Laws ch. 149, § 148c, and the Massachusetts Small Necessities Leave Act, Mass. Gen. Laws ch. 149, § 52D, all as amended; all rights and claims under the Massachusetts Wage Act, Mass. Gen. Laws ch. 149, § 148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as amended (Massachusetts law regarding payment of wages and overtime), including any rights or claims thereunder to unpaid wages, including overtime, bonuses, commissions, and accrued, unused vacation time; all claims arising out of the California Fair Employment and Housing Act, Cal. Gov’t. Code § 12900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California Equal Pay Act, Cal. Lab. Code § 1197.5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California Family Rights Act, Cal. Gov’t. Code § 12945.1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and § 19702.3, the Cal-WARN Act, Cal. Lab. Code §§ 1400-1408, Cal. Lab. Code § 233 (California’s kin care law), Cal. Code Regs. tit. 2, §§ 7291.2– 7291.16 (California’s pregnancy leave law), California Unruh Civil Rights Act, Cal. Civ. Code § 51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and Cal. Lab. Code §§ 98.6 and 1102.5 (California whistleblower protection laws), all as amended; all common law claims including, but not limited to, actions in defamation, intentional infliction of emotional distress, misrepresentation, fraud, wrongful discharge, and breach of contract (including, without limitation, all claims arising out of or related to the Employment Agreement); all claims to any unvested ownership interest in the Company, its subsidiaries or any of its affiliates, contractual or otherwise; all state and federal whistleblower claims to the maximum extent permitted by law; and any claim or damage arising out of Executive’s employment with and/or separation from the Company (including a claim for retaliation) under any common law theory or any federal, state or local statute or ordinance not expressly referenced above. </w:t>
      </w:r>
      <w:r>
        <w:rPr>
          <w:rFonts w:ascii="Times New Roman" w:cs="Times New Roman" w:eastAsia="Times New Roman" w:hAnsi="Times New Roman"/>
          <w:sz w:val="20"/>
          <w:szCs w:val="20"/>
          <w:i w:val="1"/>
          <w:iCs w:val="1"/>
          <w:color w:val="auto"/>
        </w:rPr>
        <w:t>Notwithstanding the foregoing, nothing in this release of claims or in this Agreement shall be deemed to prohibit Executive from filing a charge with, or participating in any investigation or proceeding before, any local, state or federal government agency, including, without limitation, the EEOC or a state or local fair employment practices agency. Executive retains the right to participate in any such action but not the right to recover money damages or other individual legal or equitable relief awarded by any such governmental agency, including any payment, benefit, or attorneys’ fees, and hereby waives any right or claim to any such relief; provided, however, that nothing herein shall bar or impede in any way Executive’s ability to seek or receive a monetary incentive award from any governmental agency or regulatory authority in connection with information provided to the governmental agency or regulatory authority.</w:t>
      </w:r>
    </w:p>
    <w:p>
      <w:pPr>
        <w:spacing w:after="0" w:line="201" w:lineRule="exact"/>
        <w:rPr>
          <w:sz w:val="20"/>
          <w:szCs w:val="20"/>
          <w:color w:val="auto"/>
        </w:rPr>
      </w:pPr>
    </w:p>
    <w:p>
      <w:pPr>
        <w:ind w:left="760" w:hanging="752"/>
        <w:spacing w:after="0" w:line="244" w:lineRule="auto"/>
        <w:tabs>
          <w:tab w:leader="none" w:pos="7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1542 Waiver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Executive understands and agrees that the claims released in Section 3 above include not only claims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presently known to Executive, but also include all unknown or unanticipated claims, rights, demands, actions, obligations, liabilities, and causes of action of every kind and character that would otherwise come within the scope of the released claims as described in Section 3. Executive understands that Executive may hereafter discover facts different from what Executive now believes to be true, which if known, could have materially affected this Agreement, but Executive nevertheless waives any claims or rights based on different or additional facts. Executive knowingly and voluntarily waives any and all rights or benefits that Executive may now have, or in the future may have, under the terms of Section 1542 of the Civil Code of the State of California, which provides as follows:</w:t>
      </w:r>
    </w:p>
    <w:p>
      <w:pPr>
        <w:spacing w:after="0" w:line="186" w:lineRule="exact"/>
        <w:rPr>
          <w:sz w:val="20"/>
          <w:szCs w:val="20"/>
          <w:color w:val="auto"/>
        </w:rPr>
      </w:pPr>
    </w:p>
    <w:p>
      <w:pPr>
        <w:ind w:left="1500" w:right="240"/>
        <w:spacing w:after="0" w:line="249" w:lineRule="auto"/>
        <w:rPr>
          <w:sz w:val="20"/>
          <w:szCs w:val="20"/>
          <w:color w:val="auto"/>
        </w:rPr>
      </w:pPr>
      <w:r>
        <w:rPr>
          <w:rFonts w:ascii="Times New Roman" w:cs="Times New Roman" w:eastAsia="Times New Roman" w:hAnsi="Times New Roman"/>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1" w:name="page182"/>
    <w:bookmarkEnd w:id="181"/>
    <w:p>
      <w:pPr>
        <w:ind w:left="752" w:hanging="752"/>
        <w:spacing w:after="0"/>
        <w:tabs>
          <w:tab w:leader="none" w:pos="752"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Disclosures</w:t>
      </w:r>
    </w:p>
    <w:p>
      <w:pPr>
        <w:spacing w:after="0" w:line="215" w:lineRule="exact"/>
        <w:rPr>
          <w:rFonts w:ascii="Times New Roman" w:cs="Times New Roman" w:eastAsia="Times New Roman" w:hAnsi="Times New Roman"/>
          <w:sz w:val="20"/>
          <w:szCs w:val="20"/>
          <w:color w:val="auto"/>
        </w:rPr>
      </w:pPr>
    </w:p>
    <w:p>
      <w:pPr>
        <w:ind w:left="1492" w:right="120" w:hanging="369"/>
        <w:spacing w:after="0" w:line="256" w:lineRule="auto"/>
        <w:tabs>
          <w:tab w:leader="none" w:pos="1492"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Confidentiality </w:t>
      </w:r>
      <w:r>
        <w:rPr>
          <w:rFonts w:ascii="Times New Roman" w:cs="Times New Roman" w:eastAsia="Times New Roman" w:hAnsi="Times New Roman"/>
          <w:sz w:val="20"/>
          <w:szCs w:val="20"/>
          <w:color w:val="auto"/>
        </w:rPr>
        <w:t>– Except for Permitted Disclosures (as set forth in Section 5(b) below), Executive agrees to maintain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confidential and not to disclose the terms of this Agreement and the contents of the negotiations and discussions resulting in this Agreement.</w:t>
      </w:r>
    </w:p>
    <w:p>
      <w:pPr>
        <w:spacing w:after="0" w:line="168" w:lineRule="exact"/>
        <w:rPr>
          <w:rFonts w:ascii="Times New Roman" w:cs="Times New Roman" w:eastAsia="Times New Roman" w:hAnsi="Times New Roman"/>
          <w:sz w:val="20"/>
          <w:szCs w:val="20"/>
          <w:color w:val="auto"/>
        </w:rPr>
      </w:pPr>
    </w:p>
    <w:p>
      <w:pPr>
        <w:ind w:left="1492" w:right="60" w:hanging="369"/>
        <w:spacing w:after="0" w:line="242" w:lineRule="auto"/>
        <w:tabs>
          <w:tab w:leader="none" w:pos="1492"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Permitted Disclosures – </w:t>
      </w:r>
      <w:r>
        <w:rPr>
          <w:rFonts w:ascii="Times New Roman" w:cs="Times New Roman" w:eastAsia="Times New Roman" w:hAnsi="Times New Roman"/>
          <w:sz w:val="20"/>
          <w:szCs w:val="20"/>
          <w:color w:val="auto"/>
        </w:rPr>
        <w:t>Nothing in this Agreement, including Section 5(a) above, or elsewhere (including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Agreement) prohibits or restricts Executive from communicating with, or voluntarily providing information he believes indicates possible or actual violations of the law to, local, state or federal government agencies, any legislative body, law enforcement, or any self-regulatory organization (including but not limited to the Securities and Exchange Commission). Executive is not required to notify the Company of any such communications or disclosures. Further, notwithstanding Executive’s confidentiality and nondisclosure obligations, he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82" w:lineRule="exact"/>
        <w:rPr>
          <w:rFonts w:ascii="Times New Roman" w:cs="Times New Roman" w:eastAsia="Times New Roman" w:hAnsi="Times New Roman"/>
          <w:sz w:val="20"/>
          <w:szCs w:val="20"/>
          <w:color w:val="auto"/>
        </w:rPr>
      </w:pPr>
    </w:p>
    <w:p>
      <w:pPr>
        <w:ind w:left="752" w:right="100" w:hanging="752"/>
        <w:spacing w:after="0" w:line="247" w:lineRule="auto"/>
        <w:tabs>
          <w:tab w:leader="none" w:pos="752"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Reaffirmation of Continuing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Executive acknowledges and reaffirms his continuing obligations to the Company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in Section 11 of the Employment Agreement, which Section 11 and the obligations therein remain in full force and effect following the Separation Date in accordance with the terms of Section 11; provided, however, that Executive shall not be bound by the post-employment non-competition and non-solicitation restrictions set forth in Section 11(b) and 11(c), which restrictions are hereby waived as of the Separation Date.</w:t>
      </w:r>
    </w:p>
    <w:p>
      <w:pPr>
        <w:spacing w:after="0" w:line="180" w:lineRule="exact"/>
        <w:rPr>
          <w:rFonts w:ascii="Times New Roman" w:cs="Times New Roman" w:eastAsia="Times New Roman" w:hAnsi="Times New Roman"/>
          <w:sz w:val="20"/>
          <w:szCs w:val="20"/>
          <w:color w:val="auto"/>
        </w:rPr>
      </w:pPr>
    </w:p>
    <w:p>
      <w:pPr>
        <w:ind w:left="752" w:hanging="752"/>
        <w:spacing w:after="0" w:line="242" w:lineRule="auto"/>
        <w:tabs>
          <w:tab w:leader="none" w:pos="752"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Return of Company Property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Executive confirms that he has returned to the Company all keys, files, records (and copies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thereof), equipment (including, but not limited to, computer hardware, software, printers, flash drives and other storage devices, wireless handheld devices, cellular phones, tablets, etc.), Company identification, and any other Company owned property in his possession or control. Executive further confirms that he has left intact all, and has otherwise not destroyed, deleted, or made inaccessible to the Company any, electronic Company documents, including, but not limited to, those that he developed or helped to develop during his employment, and that he has not (a) retained any copies in any form or media; (b) maintained access to any copies in any form, media, or location; (c) stored any copies in any physical or electronic locations that are not readily accessible or known to the Company or that remain accessible to him; or (d) sent, given, or made accessible any copies to any persons or entities that the Company has not authorized to receive such electronic or hard copies. Executive further confirms that he has cancelled all accounts for his benefit, if any, in the Company’s name, including but not limited to, credit cards, telephone charge cards, cellular phone accounts, and computer accounts.</w:t>
      </w:r>
    </w:p>
    <w:p>
      <w:pPr>
        <w:spacing w:after="0" w:line="35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632460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182" w:name="page183"/>
    <w:bookmarkEnd w:id="182"/>
    <w:p>
      <w:pPr>
        <w:ind w:left="752" w:right="140" w:hanging="752"/>
        <w:spacing w:after="0" w:line="247" w:lineRule="auto"/>
        <w:tabs>
          <w:tab w:leader="none" w:pos="75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Business Expenses and Final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Executive acknowledges that he has been reimbursed by the Company for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expenses incurred in conjunction with the performance of his employment and that no other reimbursements are owed to him. Executive further acknowledges that he has received payment in full for all services rendered in conjunction with his employment by the Company, including payment for all wages, bonuses, commissions, and any accrued but unused vacation time, and that no other compensation is owed to him except as provided herein.</w:t>
      </w:r>
    </w:p>
    <w:p>
      <w:pPr>
        <w:spacing w:after="0" w:line="180" w:lineRule="exact"/>
        <w:rPr>
          <w:rFonts w:ascii="Times New Roman" w:cs="Times New Roman" w:eastAsia="Times New Roman" w:hAnsi="Times New Roman"/>
          <w:sz w:val="20"/>
          <w:szCs w:val="20"/>
          <w:color w:val="auto"/>
        </w:rPr>
      </w:pPr>
    </w:p>
    <w:p>
      <w:pPr>
        <w:ind w:left="752" w:right="60" w:hanging="752"/>
        <w:spacing w:after="0" w:line="246" w:lineRule="auto"/>
        <w:tabs>
          <w:tab w:leader="none" w:pos="75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Amendment and Waiver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This Agreement shall be binding upon the Parties and may not be modified in any manner, except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instrument in writing of concurrent or subsequent date signed by duly authorized representatives of the Parties. This Agreement shall be binding upon and shall inure to the benefit of the Parties and their respective agents, assigns, heirs, executors, administrators, personal representatives, and successors. No delay or omission by either Party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178" w:lineRule="exact"/>
        <w:rPr>
          <w:rFonts w:ascii="Times New Roman" w:cs="Times New Roman" w:eastAsia="Times New Roman" w:hAnsi="Times New Roman"/>
          <w:sz w:val="20"/>
          <w:szCs w:val="20"/>
          <w:color w:val="auto"/>
        </w:rPr>
      </w:pPr>
    </w:p>
    <w:p>
      <w:pPr>
        <w:ind w:left="752" w:hanging="752"/>
        <w:spacing w:after="0" w:line="256" w:lineRule="auto"/>
        <w:tabs>
          <w:tab w:leader="none" w:pos="75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Validity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Should any provision of this Agreement be declared or be determined by any court of competent jurisdiction to be illegal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invalid, the validity of the remaining parts, terms or provisions shall not be affected thereby and said illegal or invalid part, term or provision shall be deemed not to be a part of this Agreement.</w:t>
      </w:r>
    </w:p>
    <w:p>
      <w:pPr>
        <w:spacing w:after="0" w:line="168" w:lineRule="exact"/>
        <w:rPr>
          <w:rFonts w:ascii="Times New Roman" w:cs="Times New Roman" w:eastAsia="Times New Roman" w:hAnsi="Times New Roman"/>
          <w:sz w:val="20"/>
          <w:szCs w:val="20"/>
          <w:color w:val="auto"/>
        </w:rPr>
      </w:pPr>
    </w:p>
    <w:p>
      <w:pPr>
        <w:ind w:left="752" w:right="140" w:hanging="752"/>
        <w:spacing w:after="0" w:line="256" w:lineRule="auto"/>
        <w:tabs>
          <w:tab w:leader="none" w:pos="75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Nature of Agreement</w:t>
      </w:r>
      <w:r>
        <w:rPr>
          <w:rFonts w:ascii="Times New Roman" w:cs="Times New Roman" w:eastAsia="Times New Roman" w:hAnsi="Times New Roman"/>
          <w:sz w:val="20"/>
          <w:szCs w:val="20"/>
          <w:b w:val="1"/>
          <w:bCs w:val="1"/>
          <w:color w:val="auto"/>
        </w:rPr>
        <w:t xml:space="preserve"> – </w:t>
      </w:r>
      <w:r>
        <w:rPr>
          <w:rFonts w:ascii="Times New Roman" w:cs="Times New Roman" w:eastAsia="Times New Roman" w:hAnsi="Times New Roman"/>
          <w:sz w:val="20"/>
          <w:szCs w:val="20"/>
          <w:color w:val="auto"/>
        </w:rPr>
        <w:t>The Parties understand and agree that this Agreement is a separation and release of claims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nothing herein constitutes an admission of liability or wrongdoing on the part of the Company or any of the other Released Parties.</w:t>
      </w:r>
    </w:p>
    <w:p>
      <w:pPr>
        <w:spacing w:after="0" w:line="168" w:lineRule="exact"/>
        <w:rPr>
          <w:rFonts w:ascii="Times New Roman" w:cs="Times New Roman" w:eastAsia="Times New Roman" w:hAnsi="Times New Roman"/>
          <w:sz w:val="20"/>
          <w:szCs w:val="20"/>
          <w:color w:val="auto"/>
        </w:rPr>
      </w:pPr>
    </w:p>
    <w:p>
      <w:pPr>
        <w:ind w:left="752" w:right="60" w:hanging="752"/>
        <w:spacing w:after="0" w:line="246" w:lineRule="auto"/>
        <w:tabs>
          <w:tab w:leader="none" w:pos="75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Time for Consideration and Revocation</w:t>
      </w:r>
      <w:r>
        <w:rPr>
          <w:rFonts w:ascii="Times New Roman" w:cs="Times New Roman" w:eastAsia="Times New Roman" w:hAnsi="Times New Roman"/>
          <w:sz w:val="20"/>
          <w:szCs w:val="20"/>
          <w:b w:val="1"/>
          <w:bCs w:val="1"/>
          <w:color w:val="auto"/>
        </w:rPr>
        <w:t xml:space="preserve"> – </w:t>
      </w:r>
      <w:r>
        <w:rPr>
          <w:rFonts w:ascii="Times New Roman" w:cs="Times New Roman" w:eastAsia="Times New Roman" w:hAnsi="Times New Roman"/>
          <w:sz w:val="20"/>
          <w:szCs w:val="20"/>
          <w:color w:val="auto"/>
        </w:rPr>
        <w:t>Executive acknowledges that he was initially presented with this Agreement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November 17, 2025 (the “</w:t>
      </w:r>
      <w:r>
        <w:rPr>
          <w:rFonts w:ascii="Times New Roman" w:cs="Times New Roman" w:eastAsia="Times New Roman" w:hAnsi="Times New Roman"/>
          <w:sz w:val="20"/>
          <w:szCs w:val="20"/>
          <w:u w:val="single" w:color="auto"/>
          <w:color w:val="auto"/>
        </w:rPr>
        <w:t>Receipt Date</w:t>
      </w:r>
      <w:r>
        <w:rPr>
          <w:rFonts w:ascii="Times New Roman" w:cs="Times New Roman" w:eastAsia="Times New Roman" w:hAnsi="Times New Roman"/>
          <w:sz w:val="20"/>
          <w:szCs w:val="20"/>
          <w:color w:val="auto"/>
        </w:rPr>
        <w:t>”). Executive understands that he will not be eligible to receive the Severance Benefits unless he (a) signs and returns this Agreement no later than the close of business on December 9, 2025 (the “</w:t>
      </w:r>
      <w:r>
        <w:rPr>
          <w:rFonts w:ascii="Times New Roman" w:cs="Times New Roman" w:eastAsia="Times New Roman" w:hAnsi="Times New Roman"/>
          <w:sz w:val="20"/>
          <w:szCs w:val="20"/>
          <w:u w:val="single" w:color="auto"/>
          <w:color w:val="auto"/>
        </w:rPr>
        <w:t>Return Date</w:t>
      </w:r>
      <w:r>
        <w:rPr>
          <w:rFonts w:ascii="Times New Roman" w:cs="Times New Roman" w:eastAsia="Times New Roman" w:hAnsi="Times New Roman"/>
          <w:sz w:val="20"/>
          <w:szCs w:val="20"/>
          <w:color w:val="auto"/>
        </w:rPr>
        <w:t>”), and (b) does not revoke his acceptance of this Agreement during the seven (7) day period after signing it (the “</w:t>
      </w:r>
      <w:r>
        <w:rPr>
          <w:rFonts w:ascii="Times New Roman" w:cs="Times New Roman" w:eastAsia="Times New Roman" w:hAnsi="Times New Roman"/>
          <w:sz w:val="20"/>
          <w:szCs w:val="20"/>
          <w:u w:val="single" w:color="auto"/>
          <w:color w:val="auto"/>
        </w:rPr>
        <w:t>Revocation Period</w:t>
      </w:r>
      <w:r>
        <w:rPr>
          <w:rFonts w:ascii="Times New Roman" w:cs="Times New Roman" w:eastAsia="Times New Roman" w:hAnsi="Times New Roman"/>
          <w:sz w:val="20"/>
          <w:szCs w:val="20"/>
          <w:color w:val="auto"/>
        </w:rPr>
        <w:t>”). This Agreement will become effective and enforceable on the day after the Revocation Period has expired without revocation (the “</w:t>
      </w:r>
      <w:r>
        <w:rPr>
          <w:rFonts w:ascii="Times New Roman" w:cs="Times New Roman" w:eastAsia="Times New Roman" w:hAnsi="Times New Roman"/>
          <w:sz w:val="20"/>
          <w:szCs w:val="20"/>
          <w:u w:val="single" w:color="auto"/>
          <w:color w:val="auto"/>
        </w:rPr>
        <w:t>Agreement Effective Date</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752" w:hanging="752"/>
        <w:spacing w:after="0" w:line="243" w:lineRule="auto"/>
        <w:tabs>
          <w:tab w:leader="none" w:pos="75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Acknowledgements</w:t>
      </w:r>
      <w:r>
        <w:rPr>
          <w:rFonts w:ascii="Times New Roman" w:cs="Times New Roman" w:eastAsia="Times New Roman" w:hAnsi="Times New Roman"/>
          <w:sz w:val="20"/>
          <w:szCs w:val="20"/>
          <w:b w:val="1"/>
          <w:bCs w:val="1"/>
          <w:color w:val="auto"/>
        </w:rPr>
        <w:t xml:space="preserve"> – </w:t>
      </w:r>
      <w:r>
        <w:rPr>
          <w:rFonts w:ascii="Times New Roman" w:cs="Times New Roman" w:eastAsia="Times New Roman" w:hAnsi="Times New Roman"/>
          <w:sz w:val="20"/>
          <w:szCs w:val="20"/>
          <w:color w:val="auto"/>
        </w:rPr>
        <w:t>Executive acknowledges that he has been given at least twenty-one (21) days to consider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Consideration Period</w:t>
      </w:r>
      <w:r>
        <w:rPr>
          <w:rFonts w:ascii="Times New Roman" w:cs="Times New Roman" w:eastAsia="Times New Roman" w:hAnsi="Times New Roman"/>
          <w:sz w:val="20"/>
          <w:szCs w:val="20"/>
          <w:color w:val="auto"/>
        </w:rPr>
        <w:t>”), and that the Company is hereby advising him to consult with an attorney of his own choosing prior to signing this Agreement. Executive further acknowledges and agrees that any changes made to this Agreement following the Receipt Date, whether material or immaterial, shall not re-start or affect in any manner the Consideration Period. Executive understands that he may revoke his acceptance of this Agreement during the Revocation Period by notifying in writing the Company signatory of this Agreement, and this Agreement shall not be effective or enforceable unless and until the Revocation Period expires without Executive’s revocation. Executive understands and agrees that by entering into this Agreement he is waiving any and all rights or claims he might have under the Age Discrimination in Employment Act, as amended by the Older Workers Benefit Protection Act, and that he has received consideration beyond that to which he was previously entitled.</w:t>
      </w:r>
    </w:p>
    <w:p>
      <w:pPr>
        <w:spacing w:after="0" w:line="34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632460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09" w:right="359" w:bottom="1440" w:gutter="0" w:footer="0" w:header="0"/>
        </w:sectPr>
      </w:pPr>
    </w:p>
    <w:bookmarkStart w:id="183" w:name="page184"/>
    <w:bookmarkEnd w:id="183"/>
    <w:p>
      <w:pPr>
        <w:jc w:val="both"/>
        <w:ind w:left="752" w:right="200" w:hanging="752"/>
        <w:spacing w:after="0" w:line="256" w:lineRule="auto"/>
        <w:tabs>
          <w:tab w:leader="none" w:pos="75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Voluntary Assent</w:t>
      </w:r>
      <w:r>
        <w:rPr>
          <w:rFonts w:ascii="Times New Roman" w:cs="Times New Roman" w:eastAsia="Times New Roman" w:hAnsi="Times New Roman"/>
          <w:sz w:val="20"/>
          <w:szCs w:val="20"/>
          <w:b w:val="1"/>
          <w:bCs w:val="1"/>
          <w:color w:val="auto"/>
        </w:rPr>
        <w:t xml:space="preserve"> – </w:t>
      </w:r>
      <w:r>
        <w:rPr>
          <w:rFonts w:ascii="Times New Roman" w:cs="Times New Roman" w:eastAsia="Times New Roman" w:hAnsi="Times New Roman"/>
          <w:sz w:val="20"/>
          <w:szCs w:val="20"/>
          <w:color w:val="auto"/>
        </w:rPr>
        <w:t>Executive affirms that no other promises or agreements of any kind have been made to or with Executive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person or entity whatsoever to cause him to sign this Agreement, and that he fully understands the meaning and intent of this Agreement and has had the opportunity to be represented by counsel of his own choosing.</w:t>
      </w:r>
    </w:p>
    <w:p>
      <w:pPr>
        <w:spacing w:after="0" w:line="168" w:lineRule="exact"/>
        <w:rPr>
          <w:rFonts w:ascii="Times New Roman" w:cs="Times New Roman" w:eastAsia="Times New Roman" w:hAnsi="Times New Roman"/>
          <w:sz w:val="20"/>
          <w:szCs w:val="20"/>
          <w:color w:val="auto"/>
        </w:rPr>
      </w:pPr>
    </w:p>
    <w:p>
      <w:pPr>
        <w:ind w:left="752" w:hanging="752"/>
        <w:spacing w:after="0" w:line="247" w:lineRule="auto"/>
        <w:tabs>
          <w:tab w:leader="none" w:pos="75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 Forum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This Agreement shall be interpreted and construed by the laws of the Commonwealth of Massachusetts,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regard to conflict of laws provisions. Executive hereby irrevocably submits to and acknowledges and recognizes the jurisdiction of the courts of the Commonwealth of Massachusetts, or if appropriate, a federal court located in Massachusetts (which courts, for purposes of this Agreement, are the only courts of competent jurisdiction), over any suit, action or other proceeding arising out of, under or in connection with this Agreement or the subject matter hereof.</w:t>
      </w:r>
    </w:p>
    <w:p>
      <w:pPr>
        <w:spacing w:after="0" w:line="193" w:lineRule="exact"/>
        <w:rPr>
          <w:rFonts w:ascii="Times New Roman" w:cs="Times New Roman" w:eastAsia="Times New Roman" w:hAnsi="Times New Roman"/>
          <w:sz w:val="20"/>
          <w:szCs w:val="20"/>
          <w:color w:val="auto"/>
        </w:rPr>
      </w:pPr>
    </w:p>
    <w:p>
      <w:pPr>
        <w:jc w:val="both"/>
        <w:ind w:left="752" w:right="160" w:hanging="752"/>
        <w:spacing w:after="0" w:line="250" w:lineRule="auto"/>
        <w:tabs>
          <w:tab w:leader="none" w:pos="75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This Agreement contains and constitutes the entire understanding and agreement between the Parties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Executive’s separation of employment from the Company, severance benefits, and the settlement of claims against the Released Parties, and cancels all previous oral and written negotiations, agreements, commitments and writings in connection therewith.</w:t>
      </w:r>
    </w:p>
    <w:p>
      <w:pPr>
        <w:spacing w:after="0" w:line="189" w:lineRule="exact"/>
        <w:rPr>
          <w:rFonts w:ascii="Times New Roman" w:cs="Times New Roman" w:eastAsia="Times New Roman" w:hAnsi="Times New Roman"/>
          <w:sz w:val="20"/>
          <w:szCs w:val="20"/>
          <w:color w:val="auto"/>
        </w:rPr>
      </w:pPr>
    </w:p>
    <w:p>
      <w:pPr>
        <w:ind w:left="752" w:right="20" w:hanging="752"/>
        <w:spacing w:after="0" w:line="246" w:lineRule="auto"/>
        <w:tabs>
          <w:tab w:leader="none" w:pos="75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Acknowledgement; Clawback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In connection with the Severance Benefits provided to Executive pursuant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Company shall withhold and remit to the tax authorities the amounts required under applicable law, and Executive shall be responsible for all applicable taxes with respect to such Severance Benefits under applicable law. Executive acknowledges that he is not relying upon the advice or representation of the Company with respect to the tax treatment of any of the Severance Benefits. Executive acknowledges and agrees that he remains subject to the clawback provision of Section 9(h) of the Employment Agreement.</w:t>
      </w:r>
    </w:p>
    <w:p>
      <w:pPr>
        <w:spacing w:after="0" w:line="178" w:lineRule="exact"/>
        <w:rPr>
          <w:rFonts w:ascii="Times New Roman" w:cs="Times New Roman" w:eastAsia="Times New Roman" w:hAnsi="Times New Roman"/>
          <w:sz w:val="20"/>
          <w:szCs w:val="20"/>
          <w:color w:val="auto"/>
        </w:rPr>
      </w:pPr>
    </w:p>
    <w:p>
      <w:pPr>
        <w:ind w:left="752" w:right="20" w:hanging="752"/>
        <w:spacing w:after="0" w:line="256" w:lineRule="auto"/>
        <w:tabs>
          <w:tab w:leader="none" w:pos="75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This Agreement may be executed in two counterparts, each of which shall be deemed to be an original, but both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together will constitute one and the same Agreement. Facsimile, electronic, and PDF signatures shall be deemed to be of equal force and effect as originals.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52"/>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632460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09" w:right="379" w:bottom="1440" w:gutter="0" w:footer="0" w:header="0"/>
        </w:sectPr>
      </w:pPr>
    </w:p>
    <w:bookmarkStart w:id="184" w:name="page185"/>
    <w:bookmarkEnd w:id="184"/>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as of the date(s) written below.</w:t>
      </w:r>
    </w:p>
    <w:p>
      <w:pPr>
        <w:spacing w:after="0" w:line="200" w:lineRule="exact"/>
        <w:rPr>
          <w:sz w:val="20"/>
          <w:szCs w:val="20"/>
          <w:color w:val="auto"/>
        </w:rPr>
      </w:pPr>
    </w:p>
    <w:p>
      <w:pPr>
        <w:spacing w:after="0" w:line="2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CUE BIOPHARMA, INC.</w:t>
      </w:r>
    </w:p>
    <w:p>
      <w:pPr>
        <w:spacing w:after="0" w:line="200" w:lineRule="exact"/>
        <w:rPr>
          <w:sz w:val="20"/>
          <w:szCs w:val="20"/>
          <w:color w:val="auto"/>
        </w:rPr>
      </w:pPr>
    </w:p>
    <w:p>
      <w:pPr>
        <w:spacing w:after="0" w:line="240"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/s/ Usman Azam</w:t>
            </w: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w w:val="97"/>
              </w:rPr>
              <w:t>Date: 11/19/25</w:t>
            </w:r>
          </w:p>
        </w:tc>
      </w:tr>
      <w:tr>
        <w:trPr>
          <w:trHeight w:val="227"/>
        </w:trPr>
        <w:tc>
          <w:tcPr>
            <w:tcW w:w="7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2380" w:type="dxa"/>
            <w:vAlign w:val="bottom"/>
            <w:tcBorders>
              <w:top w:val="single" w:sz="8" w:color="auto"/>
            </w:tcBorders>
          </w:tcPr>
          <w:p>
            <w:pPr>
              <w:spacing w:after="0" w:line="228" w:lineRule="exact"/>
              <w:rPr>
                <w:sz w:val="20"/>
                <w:szCs w:val="20"/>
                <w:color w:val="auto"/>
              </w:rPr>
            </w:pPr>
            <w:r>
              <w:rPr>
                <w:rFonts w:ascii="Times New Roman" w:cs="Times New Roman" w:eastAsia="Times New Roman" w:hAnsi="Times New Roman"/>
                <w:sz w:val="20"/>
                <w:szCs w:val="20"/>
                <w:color w:val="auto"/>
              </w:rPr>
              <w:t>Usman Azam, M.D.</w:t>
            </w:r>
          </w:p>
        </w:tc>
        <w:tc>
          <w:tcPr>
            <w:tcW w:w="4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r>
      <w:tr>
        <w:trPr>
          <w:trHeight w:val="258"/>
        </w:trPr>
        <w:tc>
          <w:tcPr>
            <w:tcW w:w="7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CEO</w:t>
            </w:r>
          </w:p>
        </w:tc>
        <w:tc>
          <w:tcPr>
            <w:tcW w:w="400" w:type="dxa"/>
            <w:vAlign w:val="bottom"/>
          </w:tcPr>
          <w:p>
            <w:pPr>
              <w:spacing w:after="0"/>
              <w:rPr>
                <w:sz w:val="22"/>
                <w:szCs w:val="22"/>
                <w:color w:val="auto"/>
              </w:rPr>
            </w:pPr>
          </w:p>
        </w:tc>
        <w:tc>
          <w:tcPr>
            <w:tcW w:w="1180" w:type="dxa"/>
            <w:vAlign w:val="bottom"/>
          </w:tcPr>
          <w:p>
            <w:pPr>
              <w:spacing w:after="0"/>
              <w:rPr>
                <w:sz w:val="22"/>
                <w:szCs w:val="22"/>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i w:val="1"/>
          <w:iCs w:val="1"/>
          <w:color w:val="auto"/>
        </w:rPr>
        <w:t>I hereby agree to the terms and conditions set forth above. I have carefully read this Agreement, understand the contents herein, freely and voluntarily assent to all of the terms and conditions hereof, and sign my name of my own free act. I intend that this Agreement will become a binding agreement between me and the Company if I do not revoke my acceptance in seven (7) days.</w:t>
      </w:r>
    </w:p>
    <w:p>
      <w:pPr>
        <w:spacing w:after="0" w:line="200" w:lineRule="exact"/>
        <w:rPr>
          <w:sz w:val="20"/>
          <w:szCs w:val="20"/>
          <w:color w:val="auto"/>
        </w:rPr>
      </w:pP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MATTEO LEVISETTI, M.D.</w:t>
      </w:r>
    </w:p>
    <w:p>
      <w:pPr>
        <w:spacing w:after="0" w:line="200" w:lineRule="exact"/>
        <w:rPr>
          <w:sz w:val="20"/>
          <w:szCs w:val="20"/>
          <w:color w:val="auto"/>
        </w:rPr>
      </w:pPr>
    </w:p>
    <w:p>
      <w:pPr>
        <w:spacing w:after="0" w:line="232" w:lineRule="exact"/>
        <w:rPr>
          <w:sz w:val="20"/>
          <w:szCs w:val="20"/>
          <w:color w:val="auto"/>
        </w:rPr>
      </w:pPr>
    </w:p>
    <w:p>
      <w:pPr>
        <w:ind w:left="400"/>
        <w:spacing w:after="0"/>
        <w:tabs>
          <w:tab w:leader="none" w:pos="3540" w:val="left"/>
        </w:tabs>
        <w:rPr>
          <w:sz w:val="20"/>
          <w:szCs w:val="20"/>
          <w:color w:val="auto"/>
        </w:rPr>
      </w:pPr>
      <w:r>
        <w:rPr>
          <w:rFonts w:ascii="Times New Roman" w:cs="Times New Roman" w:eastAsia="Times New Roman" w:hAnsi="Times New Roman"/>
          <w:sz w:val="20"/>
          <w:szCs w:val="20"/>
          <w:color w:val="auto"/>
        </w:rPr>
        <w:t>/s/ Matteo Levisetti</w:t>
      </w:r>
      <w:r>
        <w:rPr>
          <w:sz w:val="20"/>
          <w:szCs w:val="20"/>
          <w:color w:val="auto"/>
        </w:rPr>
        <w:tab/>
      </w:r>
      <w:r>
        <w:rPr>
          <w:rFonts w:ascii="Times New Roman" w:cs="Times New Roman" w:eastAsia="Times New Roman" w:hAnsi="Times New Roman"/>
          <w:sz w:val="19"/>
          <w:szCs w:val="19"/>
          <w:color w:val="auto"/>
        </w:rPr>
        <w:t>Date:11/19/25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1167130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-10795</wp:posOffset>
            </wp:positionV>
            <wp:extent cx="326644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6">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5" w:name="page186"/>
    <w:bookmarkEnd w:id="185"/>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10.49</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OPTION AGREEMENT</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This Option Agreement (this “</w:t>
      </w:r>
      <w:r>
        <w:rPr>
          <w:rFonts w:ascii="Times New Roman" w:cs="Times New Roman" w:eastAsia="Times New Roman" w:hAnsi="Times New Roman"/>
          <w:sz w:val="22"/>
          <w:szCs w:val="22"/>
          <w:b w:val="1"/>
          <w:bCs w:val="1"/>
          <w:color w:val="auto"/>
        </w:rPr>
        <w:t>Option Agreement</w:t>
      </w:r>
      <w:r>
        <w:rPr>
          <w:rFonts w:ascii="Times New Roman" w:cs="Times New Roman" w:eastAsia="Times New Roman" w:hAnsi="Times New Roman"/>
          <w:sz w:val="22"/>
          <w:szCs w:val="22"/>
          <w:color w:val="auto"/>
        </w:rPr>
        <w:t>”), effective as of October 22, 2025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is made by and between ImmunoScape Pte. Ltd., a private limited company existing under the laws of Singapore, with a business address 1 Scotts Road 24-10, Shaw Centre, Singapore 228208 (“</w:t>
      </w:r>
      <w:r>
        <w:rPr>
          <w:rFonts w:ascii="Times New Roman" w:cs="Times New Roman" w:eastAsia="Times New Roman" w:hAnsi="Times New Roman"/>
          <w:sz w:val="22"/>
          <w:szCs w:val="22"/>
          <w:b w:val="1"/>
          <w:bCs w:val="1"/>
          <w:color w:val="auto"/>
        </w:rPr>
        <w:t>IMSCP</w:t>
      </w:r>
      <w:r>
        <w:rPr>
          <w:rFonts w:ascii="Times New Roman" w:cs="Times New Roman" w:eastAsia="Times New Roman" w:hAnsi="Times New Roman"/>
          <w:sz w:val="22"/>
          <w:szCs w:val="22"/>
          <w:color w:val="auto"/>
        </w:rPr>
        <w:t>”), and Cue Biopharma, Inc., a corporation organized and existing under the laws of the State of Delaware, having its registered office at 40 Guest Street, Boston, MA 02135 (“</w:t>
      </w:r>
      <w:r>
        <w:rPr>
          <w:rFonts w:ascii="Times New Roman" w:cs="Times New Roman" w:eastAsia="Times New Roman" w:hAnsi="Times New Roman"/>
          <w:sz w:val="22"/>
          <w:szCs w:val="22"/>
          <w:b w:val="1"/>
          <w:bCs w:val="1"/>
          <w:color w:val="auto"/>
        </w:rPr>
        <w:t>Cue</w:t>
      </w:r>
      <w:r>
        <w:rPr>
          <w:rFonts w:ascii="Times New Roman" w:cs="Times New Roman" w:eastAsia="Times New Roman" w:hAnsi="Times New Roman"/>
          <w:sz w:val="22"/>
          <w:szCs w:val="22"/>
          <w:color w:val="auto"/>
        </w:rPr>
        <w:t>”). IMSCP and Cue are sometimes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The Parties hereby agree as follows:</w:t>
      </w:r>
    </w:p>
    <w:p>
      <w:pPr>
        <w:spacing w:after="0" w:line="175" w:lineRule="exact"/>
        <w:rPr>
          <w:sz w:val="20"/>
          <w:szCs w:val="20"/>
          <w:color w:val="auto"/>
        </w:rPr>
      </w:pPr>
    </w:p>
    <w:p>
      <w:pPr>
        <w:jc w:val="both"/>
        <w:ind w:firstLine="757"/>
        <w:spacing w:after="0" w:line="246" w:lineRule="auto"/>
        <w:tabs>
          <w:tab w:leader="none" w:pos="101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Signature Fee. </w:t>
      </w:r>
      <w:r>
        <w:rPr>
          <w:rFonts w:ascii="Times New Roman" w:cs="Times New Roman" w:eastAsia="Times New Roman" w:hAnsi="Times New Roman"/>
          <w:sz w:val="22"/>
          <w:szCs w:val="22"/>
          <w:color w:val="auto"/>
        </w:rPr>
        <w:t>IMSCP shall pay Cue a non-refundable, non-creditable amount equal to five hundred thousand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dollars (US $500,000) on the Effective Date, by wire transfer to an account identified in writing by Cue (the “</w:t>
      </w:r>
      <w:r>
        <w:rPr>
          <w:rFonts w:ascii="Times New Roman" w:cs="Times New Roman" w:eastAsia="Times New Roman" w:hAnsi="Times New Roman"/>
          <w:sz w:val="22"/>
          <w:szCs w:val="22"/>
          <w:b w:val="1"/>
          <w:bCs w:val="1"/>
          <w:color w:val="auto"/>
        </w:rPr>
        <w:t>Signature Fee</w:t>
      </w:r>
      <w:r>
        <w:rPr>
          <w:rFonts w:ascii="Times New Roman" w:cs="Times New Roman" w:eastAsia="Times New Roman" w:hAnsi="Times New Roman"/>
          <w:sz w:val="22"/>
          <w:szCs w:val="22"/>
          <w:color w:val="auto"/>
        </w:rPr>
        <w:t>”). The Signature Fee shall be payable as consideration for Cue’s grant to IMSCP of the Option described in Section 2.</w:t>
      </w:r>
    </w:p>
    <w:p>
      <w:pPr>
        <w:spacing w:after="0" w:line="167"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Effective on receipt of Cue’s receipt of the Signature Fee, Cue hereby grants to IMSCP the exclusive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obtain a license to certain Cue technology pursuant to the Collaboration and License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for a period of [**] following the Effective Date (the “</w:t>
      </w:r>
      <w:r>
        <w:rPr>
          <w:rFonts w:ascii="Times New Roman" w:cs="Times New Roman" w:eastAsia="Times New Roman" w:hAnsi="Times New Roman"/>
          <w:sz w:val="22"/>
          <w:szCs w:val="22"/>
          <w:b w:val="1"/>
          <w:bCs w:val="1"/>
          <w:color w:val="auto"/>
        </w:rPr>
        <w:t>Option Period</w:t>
      </w:r>
      <w:r>
        <w:rPr>
          <w:rFonts w:ascii="Times New Roman" w:cs="Times New Roman" w:eastAsia="Times New Roman" w:hAnsi="Times New Roman"/>
          <w:sz w:val="22"/>
          <w:szCs w:val="22"/>
          <w:color w:val="auto"/>
        </w:rPr>
        <w:t>”). If IMSCP fails to execute the Option within the Option Period, then (a) the Option will expire and be of no further force or effect, (b) Cue will retain the Signature Fee, and (c) the Parties will have no further obligations with respect to the Option.</w:t>
      </w:r>
    </w:p>
    <w:p>
      <w:pPr>
        <w:spacing w:after="0" w:line="176" w:lineRule="exact"/>
        <w:rPr>
          <w:rFonts w:ascii="Times New Roman" w:cs="Times New Roman" w:eastAsia="Times New Roman" w:hAnsi="Times New Roman"/>
          <w:sz w:val="22"/>
          <w:szCs w:val="22"/>
          <w:color w:val="auto"/>
        </w:rPr>
      </w:pPr>
    </w:p>
    <w:p>
      <w:pPr>
        <w:jc w:val="both"/>
        <w:ind w:firstLine="757"/>
        <w:spacing w:after="0" w:line="247" w:lineRule="auto"/>
        <w:tabs>
          <w:tab w:leader="none" w:pos="1018"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Execution of Option</w:t>
      </w:r>
      <w:r>
        <w:rPr>
          <w:rFonts w:ascii="Times New Roman" w:cs="Times New Roman" w:eastAsia="Times New Roman" w:hAnsi="Times New Roman"/>
          <w:sz w:val="21"/>
          <w:szCs w:val="21"/>
          <w:color w:val="auto"/>
        </w:rPr>
        <w:t>. At any time during the Option Period, IMSCP may exercise the Option by (a) delivering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written notice to Cue stating that it intends to exercise the Option (“</w:t>
      </w:r>
      <w:r>
        <w:rPr>
          <w:rFonts w:ascii="Times New Roman" w:cs="Times New Roman" w:eastAsia="Times New Roman" w:hAnsi="Times New Roman"/>
          <w:sz w:val="21"/>
          <w:szCs w:val="21"/>
          <w:b w:val="1"/>
          <w:bCs w:val="1"/>
          <w:color w:val="auto"/>
        </w:rPr>
        <w:t>Notice of Option Exercise</w:t>
      </w:r>
      <w:r>
        <w:rPr>
          <w:rFonts w:ascii="Times New Roman" w:cs="Times New Roman" w:eastAsia="Times New Roman" w:hAnsi="Times New Roman"/>
          <w:sz w:val="21"/>
          <w:szCs w:val="21"/>
          <w:color w:val="auto"/>
        </w:rPr>
        <w:t>”); and (b) paying Cue four million five hundred thousand dollars (US $4,500,000), by wire transfer to an account identified in writing by Cue (the “</w:t>
      </w:r>
      <w:r>
        <w:rPr>
          <w:rFonts w:ascii="Times New Roman" w:cs="Times New Roman" w:eastAsia="Times New Roman" w:hAnsi="Times New Roman"/>
          <w:sz w:val="21"/>
          <w:szCs w:val="21"/>
          <w:b w:val="1"/>
          <w:bCs w:val="1"/>
          <w:color w:val="auto"/>
        </w:rPr>
        <w:t>Option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Exercise Fee</w:t>
      </w:r>
      <w:r>
        <w:rPr>
          <w:rFonts w:ascii="Times New Roman" w:cs="Times New Roman" w:eastAsia="Times New Roman" w:hAnsi="Times New Roman"/>
          <w:sz w:val="21"/>
          <w:szCs w:val="21"/>
          <w:color w:val="auto"/>
        </w:rPr>
        <w:t>”). If IMSCP delivers the Notice of Option Exercise and pays to Cue the Option Exercise Fee prior to the end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Option Period, then immediately following Cue’s receipt of such Notice of Option Exercise and Option Exercise Fee, the Collaboration and License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Collaboration Agreement</w:t>
      </w:r>
      <w:r>
        <w:rPr>
          <w:rFonts w:ascii="Times New Roman" w:cs="Times New Roman" w:eastAsia="Times New Roman" w:hAnsi="Times New Roman"/>
          <w:sz w:val="21"/>
          <w:szCs w:val="21"/>
          <w:color w:val="auto"/>
        </w:rPr>
        <w:t>”) shall be deemed effective in accordance with its terms and the Option shall be deemed to have been irrevocably exercised. For clarity, the Option Exercise Fee shall be payable as partial consideration for Cue granting IMSCP the rights set forth in the Collaboration Agreement.</w:t>
      </w:r>
    </w:p>
    <w:p>
      <w:pPr>
        <w:spacing w:after="0" w:line="171" w:lineRule="exact"/>
        <w:rPr>
          <w:rFonts w:ascii="Times New Roman" w:cs="Times New Roman" w:eastAsia="Times New Roman" w:hAnsi="Times New Roman"/>
          <w:sz w:val="21"/>
          <w:szCs w:val="21"/>
          <w:color w:val="auto"/>
        </w:rPr>
      </w:pPr>
    </w:p>
    <w:p>
      <w:pPr>
        <w:jc w:val="both"/>
        <w:ind w:firstLine="757"/>
        <w:spacing w:after="0" w:line="246" w:lineRule="auto"/>
        <w:tabs>
          <w:tab w:leader="none" w:pos="101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Effect of Option Exercise</w:t>
      </w:r>
      <w:r>
        <w:rPr>
          <w:rFonts w:ascii="Times New Roman" w:cs="Times New Roman" w:eastAsia="Times New Roman" w:hAnsi="Times New Roman"/>
          <w:sz w:val="22"/>
          <w:szCs w:val="22"/>
          <w:color w:val="auto"/>
        </w:rPr>
        <w:t>. Upon exercise of the Option in accordance with the provisions of Section 3,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perform all of their obligations, and shall be bound by all of the terms, conditions, and other provisions, contained in the Collaboration Agreement.</w:t>
      </w:r>
    </w:p>
    <w:p>
      <w:pPr>
        <w:spacing w:after="0" w:line="167"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923925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86" w:name="page187"/>
    <w:bookmarkEnd w:id="186"/>
    <w:p>
      <w:pPr>
        <w:jc w:val="both"/>
        <w:ind w:firstLine="1505"/>
        <w:spacing w:after="0" w:line="238"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 Waiver</w:t>
      </w:r>
      <w:r>
        <w:rPr>
          <w:rFonts w:ascii="Times New Roman" w:cs="Times New Roman" w:eastAsia="Times New Roman" w:hAnsi="Times New Roman"/>
          <w:sz w:val="22"/>
          <w:szCs w:val="22"/>
          <w:color w:val="auto"/>
        </w:rPr>
        <w:t>. This Option Agreement may be amended, and the observance of any term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 Agreement may be waived (either generally or in a particular instance and either retroactively or prospectively) only by an instrument in writing signed by each Party hereto. Waiver of any term or condition of this Option Agreement will not be construed as a waiver of any subsequent breach or waiver of the same term or condition, or a waiver of any other term or condition of this Option Agreement.</w:t>
      </w:r>
    </w:p>
    <w:p>
      <w:pPr>
        <w:spacing w:after="0" w:line="176" w:lineRule="exact"/>
        <w:rPr>
          <w:rFonts w:ascii="Times New Roman" w:cs="Times New Roman" w:eastAsia="Times New Roman" w:hAnsi="Times New Roman"/>
          <w:sz w:val="22"/>
          <w:szCs w:val="22"/>
          <w:color w:val="auto"/>
        </w:rPr>
      </w:pPr>
    </w:p>
    <w:p>
      <w:pPr>
        <w:ind w:right="20" w:firstLine="1505"/>
        <w:spacing w:after="0" w:line="262"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This Option Agreement shall be governed by and construed under the laws of the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New York, without reference to its conflicts of laws provisions.</w:t>
      </w:r>
    </w:p>
    <w:p>
      <w:pPr>
        <w:spacing w:after="0" w:line="14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Termination</w:t>
      </w:r>
      <w:r>
        <w:rPr>
          <w:rFonts w:ascii="Times New Roman" w:cs="Times New Roman" w:eastAsia="Times New Roman" w:hAnsi="Times New Roman"/>
          <w:sz w:val="21"/>
          <w:szCs w:val="21"/>
          <w:color w:val="auto"/>
        </w:rPr>
        <w:t>. This Option Agreement shall terminate and be of no further force or effect upon the earliest</w:t>
      </w:r>
    </w:p>
    <w:p>
      <w:pPr>
        <w:spacing w:after="0" w:line="29" w:lineRule="exact"/>
        <w:rPr>
          <w:rFonts w:ascii="Times New Roman" w:cs="Times New Roman" w:eastAsia="Times New Roman" w:hAnsi="Times New Roman"/>
          <w:sz w:val="21"/>
          <w:szCs w:val="21"/>
          <w:color w:val="auto"/>
        </w:rPr>
      </w:pPr>
    </w:p>
    <w:p>
      <w:pPr>
        <w:ind w:right="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occur: (a) the exercise of the Option and (b) the end of the Option Period. This Section 5 and any liability for breach arising prior to such termination shall survive the termination of this Option Agreement.</w:t>
      </w:r>
    </w:p>
    <w:p>
      <w:pPr>
        <w:spacing w:after="0" w:line="174" w:lineRule="exact"/>
        <w:rPr>
          <w:rFonts w:ascii="Times New Roman" w:cs="Times New Roman" w:eastAsia="Times New Roman" w:hAnsi="Times New Roman"/>
          <w:sz w:val="21"/>
          <w:szCs w:val="21"/>
          <w:color w:val="auto"/>
        </w:rPr>
      </w:pPr>
    </w:p>
    <w:p>
      <w:pPr>
        <w:ind w:right="20" w:firstLine="1505"/>
        <w:spacing w:after="0" w:line="286" w:lineRule="auto"/>
        <w:tabs>
          <w:tab w:leader="none" w:pos="2036"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If any provision of this Option Agreement is declared void or unenforceable by any judicial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administrative authority, the validity of any other provision and of the entire Option Agreement will not be affected thereby.</w:t>
      </w:r>
    </w:p>
    <w:p>
      <w:pPr>
        <w:spacing w:after="0" w:line="126" w:lineRule="exact"/>
        <w:rPr>
          <w:rFonts w:ascii="Times New Roman" w:cs="Times New Roman" w:eastAsia="Times New Roman" w:hAnsi="Times New Roman"/>
          <w:sz w:val="21"/>
          <w:szCs w:val="21"/>
          <w:color w:val="auto"/>
        </w:rPr>
      </w:pPr>
    </w:p>
    <w:p>
      <w:pPr>
        <w:jc w:val="both"/>
        <w:ind w:firstLine="1505"/>
        <w:spacing w:after="0" w:line="241"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Entire Agreement. </w:t>
      </w:r>
      <w:r>
        <w:rPr>
          <w:rFonts w:ascii="Times New Roman" w:cs="Times New Roman" w:eastAsia="Times New Roman" w:hAnsi="Times New Roman"/>
          <w:sz w:val="22"/>
          <w:szCs w:val="22"/>
          <w:color w:val="auto"/>
        </w:rPr>
        <w:t>This Option Agreement constitutes the entire agreement between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pertaining to the subject matter hereof and supersedes all prior and contemporaneous agreements and understandings of the Parties in connection therewith, provided that the Collaboration Agreement, if it becomes effective, will supersede the terms of this Option Agreement.</w:t>
      </w:r>
    </w:p>
    <w:p>
      <w:pPr>
        <w:spacing w:after="0" w:line="171"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Confidentiality. </w:t>
      </w:r>
      <w:r>
        <w:rPr>
          <w:rFonts w:ascii="Times New Roman" w:cs="Times New Roman" w:eastAsia="Times New Roman" w:hAnsi="Times New Roman"/>
          <w:sz w:val="22"/>
          <w:szCs w:val="22"/>
          <w:color w:val="auto"/>
        </w:rPr>
        <w:t>The Parties agree that the existence and terms of this Option Agreement constitute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“Confidential Information” under that certain </w:t>
      </w:r>
      <w:r>
        <w:rPr>
          <w:rFonts w:ascii="Times New Roman" w:cs="Times New Roman" w:eastAsia="Times New Roman" w:hAnsi="Times New Roman"/>
          <w:sz w:val="19"/>
          <w:szCs w:val="19"/>
          <w:color w:val="auto"/>
        </w:rPr>
        <w:t>Mutual Confidentiality Agreement between IMSCP and Cue dated</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b w:val="1"/>
          <w:bCs w:val="1"/>
          <w:color w:val="auto"/>
        </w:rPr>
        <w:t>CDA</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and is therefore subject to all confidentiality obligations and limitations set forth therein; provided that immediately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following Cue’s receipt of the Notice of Option Exercise and Option Exercise Fee, all Confidential Information between the Parties exchanged under the Prior CDA shall be deemed Confidential Information of the corresponding Party under the Collaboration Agreement and shall be subject to the terms of the Collaboration Agreement.</w:t>
      </w:r>
    </w:p>
    <w:p>
      <w:pPr>
        <w:spacing w:after="0" w:line="171"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w:t>
      </w:r>
      <w:r>
        <w:rPr>
          <w:rFonts w:ascii="Times New Roman" w:cs="Times New Roman" w:eastAsia="Times New Roman" w:hAnsi="Times New Roman"/>
          <w:sz w:val="22"/>
          <w:szCs w:val="22"/>
          <w:color w:val="auto"/>
        </w:rPr>
        <w:t>. Cue may freely assign, transfer or delegate any of its rights or obligations under this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including in connection with any merger (by operation of law or otherwise), consolidation, reorganization, change in control or sale of all or substantially all of its assets related. IMSCP may not assign, transfer or delegate any of its rights or obligations under this Option Agreement without the prior express written consent of Cue.</w:t>
      </w:r>
    </w:p>
    <w:p>
      <w:pPr>
        <w:spacing w:after="0" w:line="171"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 Electronic Transmission</w:t>
      </w:r>
      <w:r>
        <w:rPr>
          <w:rFonts w:ascii="Times New Roman" w:cs="Times New Roman" w:eastAsia="Times New Roman" w:hAnsi="Times New Roman"/>
          <w:sz w:val="22"/>
          <w:szCs w:val="22"/>
          <w:color w:val="auto"/>
        </w:rPr>
        <w:t>. This Option Agreement may be executed in counterparts,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which shall be deemed an original, but both of which together shall constitute one and the same the same instrument. Counterparts may be delivered via facsimile, electronic mail (including pdf or any electronic signature complying with the U.S. federal ESIGN Act of 2000, e.g., www.docusign.com) or other transmission method and 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2"/>
          <w:szCs w:val="22"/>
          <w:color w:val="auto"/>
        </w:rPr>
        <w:t>counterpart so delivered shall be deemed to have been duly and validly delivered and be valid and effective for all purposes.</w:t>
      </w:r>
    </w:p>
    <w:p>
      <w:pPr>
        <w:spacing w:after="0" w:line="202" w:lineRule="exact"/>
        <w:rPr>
          <w:sz w:val="20"/>
          <w:szCs w:val="20"/>
          <w:color w:val="auto"/>
        </w:rPr>
      </w:pPr>
    </w:p>
    <w:p>
      <w:pPr>
        <w:jc w:val="both"/>
        <w:ind w:firstLine="1505"/>
        <w:spacing w:after="0" w:line="246" w:lineRule="auto"/>
        <w:tabs>
          <w:tab w:leader="none" w:pos="203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Any notice between the Parties must be in writing given via email and shall be deemed given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day it is received by a Party (so long as no notice of failure of delivery is received by the sender thereof). Any notice shall be given to the email addresses set forth on the signature pages hereto.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1087120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88" w:name="page189"/>
    <w:bookmarkEnd w:id="188"/>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their duly authorized representatives to execute this Option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1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IMMUNOSCAPE PTE. LTD.</w:t>
            </w:r>
          </w:p>
        </w:tc>
        <w:tc>
          <w:tcPr>
            <w:tcW w:w="7100" w:type="dxa"/>
            <w:vAlign w:val="bottom"/>
            <w:gridSpan w:val="6"/>
          </w:tcPr>
          <w:p>
            <w:pPr>
              <w:ind w:left="1580"/>
              <w:spacing w:after="0"/>
              <w:rPr>
                <w:sz w:val="20"/>
                <w:szCs w:val="20"/>
                <w:color w:val="auto"/>
              </w:rPr>
            </w:pPr>
            <w:r>
              <w:rPr>
                <w:rFonts w:ascii="Times New Roman" w:cs="Times New Roman" w:eastAsia="Times New Roman" w:hAnsi="Times New Roman"/>
                <w:sz w:val="22"/>
                <w:szCs w:val="22"/>
                <w:color w:val="auto"/>
              </w:rPr>
              <w:t>CUE BIOPHARMA, INC.</w:t>
            </w:r>
          </w:p>
        </w:tc>
      </w:tr>
      <w:tr>
        <w:trPr>
          <w:trHeight w:val="623"/>
        </w:trPr>
        <w:tc>
          <w:tcPr>
            <w:tcW w:w="41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By: /s/ Michael Fehlings</w:t>
            </w:r>
          </w:p>
        </w:tc>
        <w:tc>
          <w:tcPr>
            <w:tcW w:w="7100" w:type="dxa"/>
            <w:vAlign w:val="bottom"/>
            <w:gridSpan w:val="6"/>
          </w:tcPr>
          <w:p>
            <w:pPr>
              <w:ind w:left="1580"/>
              <w:spacing w:after="0"/>
              <w:rPr>
                <w:sz w:val="20"/>
                <w:szCs w:val="20"/>
                <w:color w:val="auto"/>
              </w:rPr>
            </w:pPr>
            <w:r>
              <w:rPr>
                <w:rFonts w:ascii="Times New Roman" w:cs="Times New Roman" w:eastAsia="Times New Roman" w:hAnsi="Times New Roman"/>
                <w:sz w:val="22"/>
                <w:szCs w:val="22"/>
                <w:color w:val="auto"/>
              </w:rPr>
              <w:t>By: /s/ Lucinda Warren</w:t>
            </w:r>
          </w:p>
        </w:tc>
      </w:tr>
      <w:tr>
        <w:trPr>
          <w:trHeight w:val="20"/>
        </w:trPr>
        <w:tc>
          <w:tcPr>
            <w:tcW w:w="5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39"/>
        </w:trPr>
        <w:tc>
          <w:tcPr>
            <w:tcW w:w="41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Name: Michael Fehlings</w:t>
            </w:r>
          </w:p>
        </w:tc>
        <w:tc>
          <w:tcPr>
            <w:tcW w:w="7100" w:type="dxa"/>
            <w:vAlign w:val="bottom"/>
            <w:gridSpan w:val="6"/>
          </w:tcPr>
          <w:p>
            <w:pPr>
              <w:ind w:left="1580"/>
              <w:spacing w:after="0"/>
              <w:rPr>
                <w:sz w:val="20"/>
                <w:szCs w:val="20"/>
                <w:color w:val="auto"/>
              </w:rPr>
            </w:pPr>
            <w:r>
              <w:rPr>
                <w:rFonts w:ascii="Times New Roman" w:cs="Times New Roman" w:eastAsia="Times New Roman" w:hAnsi="Times New Roman"/>
                <w:sz w:val="22"/>
                <w:szCs w:val="22"/>
                <w:color w:val="auto"/>
              </w:rPr>
              <w:t>Name: Lucinda Warren</w:t>
            </w:r>
          </w:p>
        </w:tc>
      </w:tr>
      <w:tr>
        <w:trPr>
          <w:trHeight w:val="20"/>
        </w:trPr>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39"/>
        </w:trPr>
        <w:tc>
          <w:tcPr>
            <w:tcW w:w="414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Title: CEO</w:t>
            </w:r>
          </w:p>
        </w:tc>
        <w:tc>
          <w:tcPr>
            <w:tcW w:w="7100" w:type="dxa"/>
            <w:vAlign w:val="bottom"/>
            <w:gridSpan w:val="6"/>
          </w:tcPr>
          <w:p>
            <w:pPr>
              <w:ind w:left="1580"/>
              <w:spacing w:after="0"/>
              <w:rPr>
                <w:sz w:val="20"/>
                <w:szCs w:val="20"/>
                <w:color w:val="auto"/>
              </w:rPr>
            </w:pPr>
            <w:r>
              <w:rPr>
                <w:rFonts w:ascii="Times New Roman" w:cs="Times New Roman" w:eastAsia="Times New Roman" w:hAnsi="Times New Roman"/>
                <w:sz w:val="22"/>
                <w:szCs w:val="22"/>
                <w:color w:val="auto"/>
              </w:rPr>
              <w:t>Title: Chief Business Officer</w:t>
            </w:r>
          </w:p>
        </w:tc>
      </w:tr>
      <w:tr>
        <w:trPr>
          <w:trHeight w:val="492"/>
        </w:trPr>
        <w:tc>
          <w:tcPr>
            <w:tcW w:w="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4</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r>
      <w:tr>
        <w:trPr>
          <w:trHeight w:val="1709"/>
        </w:trPr>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89" w:name="page190"/>
    <w:bookmarkEnd w:id="189"/>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COLLABORATION AND LICENSE AGREEMENT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Collaboration and License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effective as of November 6, 2025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is made by and between ImmunoScape Pte. Ltd., a private limited company existing under the laws of Singapore, with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address 1 Scotts Road 24-10, Shaw Centre, Singapore 228208 (“</w:t>
      </w:r>
      <w:r>
        <w:rPr>
          <w:rFonts w:ascii="Times New Roman" w:cs="Times New Roman" w:eastAsia="Times New Roman" w:hAnsi="Times New Roman"/>
          <w:sz w:val="22"/>
          <w:szCs w:val="22"/>
          <w:b w:val="1"/>
          <w:bCs w:val="1"/>
          <w:color w:val="auto"/>
        </w:rPr>
        <w:t>IMSCP</w:t>
      </w:r>
      <w:r>
        <w:rPr>
          <w:rFonts w:ascii="Times New Roman" w:cs="Times New Roman" w:eastAsia="Times New Roman" w:hAnsi="Times New Roman"/>
          <w:sz w:val="22"/>
          <w:szCs w:val="22"/>
          <w:color w:val="auto"/>
        </w:rPr>
        <w:t>”), and Cue Biopharma, Inc., a corporation organized and existing under the laws of the State of Delaware, having its registered office at 40 Guest Street, Boston, MA 02135 (“</w:t>
      </w:r>
      <w:r>
        <w:rPr>
          <w:rFonts w:ascii="Times New Roman" w:cs="Times New Roman" w:eastAsia="Times New Roman" w:hAnsi="Times New Roman"/>
          <w:sz w:val="22"/>
          <w:szCs w:val="22"/>
          <w:b w:val="1"/>
          <w:bCs w:val="1"/>
          <w:color w:val="auto"/>
        </w:rPr>
        <w:t>Cue</w:t>
      </w:r>
      <w:r>
        <w:rPr>
          <w:rFonts w:ascii="Times New Roman" w:cs="Times New Roman" w:eastAsia="Times New Roman" w:hAnsi="Times New Roman"/>
          <w:sz w:val="22"/>
          <w:szCs w:val="22"/>
          <w:color w:val="auto"/>
        </w:rPr>
        <w:t>”). IMSCP and Cue are sometimes referred to herein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Cue is a biopharmaceutical company discovering and developing therapeutic candidates and, among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things, owns and controls certain Patents and Know-How (each as defined below) rights in and to certain molecules;</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IMSCP is a biopharmaceutical company, and desires to obtain a license from Cue to further Research,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 and Commercialize (each as defined below) such molecules directed to targets in the Field, all on the terms of this Agreement;</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among other things, IMSCP desires for Cue to perform, and Cue desires to perform, during the Research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certain activities and provide certain deliverables with respect to certain molecules directed to targets in the Field pursuant to a mutually agreed Transfer Plan (each as defined below); and</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each Party desires to undertake such activities in accordance with the terms and conditions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for and in consideration of the covenants, conditions and undertakings hereinafter set forth,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 hereby agree as follows: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As used herein, the following terms will have the meanings set forth below:</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color w:val="auto"/>
        </w:rPr>
        <w:t>Accounting Standards</w:t>
      </w:r>
      <w:r>
        <w:rPr>
          <w:rFonts w:ascii="Times New Roman" w:cs="Times New Roman" w:eastAsia="Times New Roman" w:hAnsi="Times New Roman"/>
          <w:sz w:val="22"/>
          <w:szCs w:val="22"/>
          <w:color w:val="auto"/>
        </w:rPr>
        <w:t>” means, with respect to a Person, the accounting standards used by such Person, whether United States Generally Accepted Accounting Principles or International Financial Reporting Standards, for its financial reporting obligations, consistently applied.</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Acquired Party</w:t>
      </w:r>
      <w:r>
        <w:rPr>
          <w:rFonts w:ascii="Times New Roman" w:cs="Times New Roman" w:eastAsia="Times New Roman" w:hAnsi="Times New Roman"/>
          <w:sz w:val="22"/>
          <w:szCs w:val="22"/>
          <w:color w:val="auto"/>
        </w:rPr>
        <w:t>” has the meaning set forth in Section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1226820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1.3“</w:t>
      </w:r>
      <w:r>
        <w:rPr>
          <w:rFonts w:ascii="Times New Roman" w:cs="Times New Roman" w:eastAsia="Times New Roman" w:hAnsi="Times New Roman"/>
          <w:sz w:val="21"/>
          <w:szCs w:val="21"/>
          <w:b w:val="1"/>
          <w:bCs w:val="1"/>
          <w:color w:val="auto"/>
        </w:rPr>
        <w:t>Active Development</w:t>
      </w:r>
      <w:r>
        <w:rPr>
          <w:rFonts w:ascii="Times New Roman" w:cs="Times New Roman" w:eastAsia="Times New Roman" w:hAnsi="Times New Roman"/>
          <w:sz w:val="21"/>
          <w:szCs w:val="21"/>
          <w:color w:val="auto"/>
        </w:rPr>
        <w:t>” means, with respect to a given CUE-100 Series Subject Molecule, that IMSCP, its Affiliates, or Sublicensees are [**] engaging in the Development activities (a) set forth in Exhibit 1.3 with respect to such CUE-100 Series Subject Molecule or (b) otherwise mutually agreed in writing between the Parties with express reference to this provision. [**].</w:t>
      </w:r>
    </w:p>
    <w:p>
      <w:pPr>
        <w:spacing w:after="0" w:line="15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1.4“</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with respect to a particular Person, another Person that controls, is controlled by or is under common control with such Person. Solely for the purposes of the definition in this Section 1.4,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more than fifty percent (50%) of the voting stock of such entity, or by contract or otherwise.</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color w:val="auto"/>
        </w:rPr>
        <w:t>Applicable Independent Director</w:t>
      </w:r>
      <w:r>
        <w:rPr>
          <w:rFonts w:ascii="Times New Roman" w:cs="Times New Roman" w:eastAsia="Times New Roman" w:hAnsi="Times New Roman"/>
          <w:sz w:val="22"/>
          <w:szCs w:val="22"/>
          <w:color w:val="auto"/>
        </w:rPr>
        <w:t>” has the meaning set forth in Section 7.6.5.</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any and all laws, ordinances, rules, directives, administrative circulars and regulations of any kind whatsoever of any Governmental Authority within the applicable jurisdiction applicable to the conduct of the applicable subject matter of this Agreement.</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each of the three (3) month periods beginning January 1, April 1, July 1 and October 1 in any year; provided that the first Calendar Quarter of the Term will extend from the Effective Date to the end of the then-current Calendar Quarter, and the last Calendar Quarter of the Term will extend from the first calendar day of such Calendar Quarter until the effective date of the expiration or termination of this Agreement.</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color w:val="auto"/>
        </w:rPr>
        <w:t>Calendar Year</w:t>
      </w:r>
      <w:r>
        <w:rPr>
          <w:rFonts w:ascii="Times New Roman" w:cs="Times New Roman" w:eastAsia="Times New Roman" w:hAnsi="Times New Roman"/>
          <w:sz w:val="22"/>
          <w:szCs w:val="22"/>
          <w:color w:val="auto"/>
        </w:rPr>
        <w:t>” means each period beginning on January 1 and ending on December 31; provided that the first Calendar Year of the Term will extend from the Effective Date to December 31 of the then-current Calendar Year, and the last Calendar Year of the Term will extend from January 1 of such Calendar Year until the effective date of the termination or expiration of this Agreement.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b w:val="1"/>
          <w:bCs w:val="1"/>
          <w:color w:val="auto"/>
        </w:rPr>
        <w:t>Capitalization Statements</w:t>
      </w:r>
      <w:r>
        <w:rPr>
          <w:rFonts w:ascii="Times New Roman" w:cs="Times New Roman" w:eastAsia="Times New Roman" w:hAnsi="Times New Roman"/>
          <w:sz w:val="22"/>
          <w:szCs w:val="22"/>
          <w:color w:val="auto"/>
        </w:rPr>
        <w:t>” shall have the meaning set forth in Section 7.6.7(a).</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1.10</w:t>
      </w:r>
      <w:r>
        <w:rPr>
          <w:rFonts w:ascii="Times New Roman" w:cs="Times New Roman" w:eastAsia="Times New Roman" w:hAnsi="Times New Roman"/>
          <w:sz w:val="22"/>
          <w:szCs w:val="22"/>
          <w:b w:val="1"/>
          <w:bCs w:val="1"/>
          <w:color w:val="auto"/>
        </w:rPr>
        <w:t>“Cell Therapy Product”</w:t>
      </w:r>
      <w:r>
        <w:rPr>
          <w:rFonts w:ascii="Times New Roman" w:cs="Times New Roman" w:eastAsia="Times New Roman" w:hAnsi="Times New Roman"/>
          <w:sz w:val="22"/>
          <w:szCs w:val="22"/>
          <w:color w:val="auto"/>
        </w:rPr>
        <w:t xml:space="preserve"> means a cell for use in a cancer patient that [**].</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1.11“</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with respect to a Party (an “</w:t>
      </w:r>
      <w:r>
        <w:rPr>
          <w:rFonts w:ascii="Times New Roman" w:cs="Times New Roman" w:eastAsia="Times New Roman" w:hAnsi="Times New Roman"/>
          <w:sz w:val="22"/>
          <w:szCs w:val="22"/>
          <w:b w:val="1"/>
          <w:bCs w:val="1"/>
          <w:color w:val="auto"/>
        </w:rPr>
        <w:t>Acquired Party</w:t>
      </w:r>
      <w:r>
        <w:rPr>
          <w:rFonts w:ascii="Times New Roman" w:cs="Times New Roman" w:eastAsia="Times New Roman" w:hAnsi="Times New Roman"/>
          <w:sz w:val="22"/>
          <w:szCs w:val="22"/>
          <w:color w:val="auto"/>
        </w:rPr>
        <w:t>”): (a) an IPO, merger, reorganization, combination, recapitalization or consolidation of such Party (or, if applicable, a parent company of such Party) with a Third Party that results in the holders of beneficial ownership of the voting securities or other voting interests of such Party (or, if applicable, a parent company of such Party) immediately prior to such IPO, merger, reorganization, combination, recapitalization or consolidation ceasing to hold beneficial ownership of at least fifty percent (50%) of the combined voting power of the surviving entity or the applicable parent of the surviving entity immediately after such initial public offering, merger, reorganization, combination, recapitalization or consolidation, (b) a transaction or series of related transactions in which a Third Party, together with its Affiliates, becomes the beneficial owner 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91" w:name="page192"/>
    <w:bookmarkEnd w:id="191"/>
    <w:p>
      <w:pPr>
        <w:jc w:val="both"/>
        <w:spacing w:after="0" w:line="238" w:lineRule="auto"/>
        <w:rPr>
          <w:sz w:val="20"/>
          <w:szCs w:val="20"/>
          <w:color w:val="auto"/>
        </w:rPr>
      </w:pPr>
      <w:r>
        <w:rPr>
          <w:rFonts w:ascii="Times New Roman" w:cs="Times New Roman" w:eastAsia="Times New Roman" w:hAnsi="Times New Roman"/>
          <w:sz w:val="22"/>
          <w:szCs w:val="22"/>
          <w:color w:val="auto"/>
        </w:rPr>
        <w:t>fifty percent (50%) or more of the combined voting power of the outstanding securities or other voting interest of such Party or a parent company of such Party, or (c) the sale or other transfer (in one (1) transaction or a series of related transactions) to a Third Party of all or substantially all of such Party’s or its parent company’s assets. Any acquiring or combining Third Party with respect to an Acquired Party, and any of such Third Party’s Affiliates (other than the Acquired Party and its Affiliates as in existence prior to the applicable transaction) are referred to collectively herein as the “</w:t>
      </w:r>
      <w:r>
        <w:rPr>
          <w:rFonts w:ascii="Times New Roman" w:cs="Times New Roman" w:eastAsia="Times New Roman" w:hAnsi="Times New Roman"/>
          <w:sz w:val="22"/>
          <w:szCs w:val="22"/>
          <w:b w:val="1"/>
          <w:bCs w:val="1"/>
          <w:color w:val="auto"/>
        </w:rPr>
        <w:t>Acquiring Party</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1.12“</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means the closing of a Qualified Offering.</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1.13“</w:t>
      </w:r>
      <w:r>
        <w:rPr>
          <w:rFonts w:ascii="Times New Roman" w:cs="Times New Roman" w:eastAsia="Times New Roman" w:hAnsi="Times New Roman"/>
          <w:sz w:val="22"/>
          <w:szCs w:val="22"/>
          <w:b w:val="1"/>
          <w:bCs w:val="1"/>
          <w:color w:val="auto"/>
        </w:rPr>
        <w:t>Closing Payment</w:t>
      </w:r>
      <w:r>
        <w:rPr>
          <w:rFonts w:ascii="Times New Roman" w:cs="Times New Roman" w:eastAsia="Times New Roman" w:hAnsi="Times New Roman"/>
          <w:sz w:val="22"/>
          <w:szCs w:val="22"/>
          <w:color w:val="auto"/>
        </w:rPr>
        <w:t>” has the meaning set forth in Section 7.1.2.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1.14“</w:t>
      </w:r>
      <w:r>
        <w:rPr>
          <w:rFonts w:ascii="Times New Roman" w:cs="Times New Roman" w:eastAsia="Times New Roman" w:hAnsi="Times New Roman"/>
          <w:sz w:val="22"/>
          <w:szCs w:val="22"/>
          <w:b w:val="1"/>
          <w:bCs w:val="1"/>
          <w:color w:val="auto"/>
        </w:rPr>
        <w:t>CMO</w:t>
      </w:r>
      <w:r>
        <w:rPr>
          <w:rFonts w:ascii="Times New Roman" w:cs="Times New Roman" w:eastAsia="Times New Roman" w:hAnsi="Times New Roman"/>
          <w:sz w:val="22"/>
          <w:szCs w:val="22"/>
          <w:color w:val="auto"/>
        </w:rPr>
        <w:t>” has the meaning set forth in Section 6.3.</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1.15“</w:t>
      </w:r>
      <w:r>
        <w:rPr>
          <w:rFonts w:ascii="Times New Roman" w:cs="Times New Roman" w:eastAsia="Times New Roman" w:hAnsi="Times New Roman"/>
          <w:sz w:val="22"/>
          <w:szCs w:val="22"/>
          <w:b w:val="1"/>
          <w:bCs w:val="1"/>
          <w:color w:val="auto"/>
        </w:rPr>
        <w:t>Combination Product</w:t>
      </w:r>
      <w:r>
        <w:rPr>
          <w:rFonts w:ascii="Times New Roman" w:cs="Times New Roman" w:eastAsia="Times New Roman" w:hAnsi="Times New Roman"/>
          <w:sz w:val="22"/>
          <w:szCs w:val="22"/>
          <w:color w:val="auto"/>
        </w:rPr>
        <w:t>” means any product that (a) contains one or more Licensed Molecules co-formulated with one or more Other Active Ingredients, (b) comprises one or more Licensed Molecules that are co-administered with one or more Other Active Ingredients, or (c) comprises one or more Licensed Molecules and one or more Other Active Ingredients that are sold either as a fixed dose combination, with separate doses in a single package, or otherwise, in any and all finished forms, presentations, delivery systems, strength, dosages, and formulations, all for a single price.</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1.16“</w:t>
      </w:r>
      <w:r>
        <w:rPr>
          <w:rFonts w:ascii="Times New Roman" w:cs="Times New Roman" w:eastAsia="Times New Roman" w:hAnsi="Times New Roman"/>
          <w:sz w:val="22"/>
          <w:szCs w:val="22"/>
          <w:b w:val="1"/>
          <w:bCs w:val="1"/>
          <w:color w:val="auto"/>
        </w:rPr>
        <w:t>Commercialization</w:t>
      </w:r>
      <w:r>
        <w:rPr>
          <w:rFonts w:ascii="Times New Roman" w:cs="Times New Roman" w:eastAsia="Times New Roman" w:hAnsi="Times New Roman"/>
          <w:sz w:val="22"/>
          <w:szCs w:val="22"/>
          <w:color w:val="auto"/>
        </w:rPr>
        <w:t>” means any and all activities for marketing, promoting, distributing, importing, exporting, using, offering to sell, selling or having sold a product, including activities related to the commercial manufacture, marketing, promotion, sale or distribution of a product in the Territory, including medical affairs activities and commercial activities conducted in preparation for a product launch. Commercialization excludes Research and Development. “</w:t>
      </w:r>
      <w:r>
        <w:rPr>
          <w:rFonts w:ascii="Times New Roman" w:cs="Times New Roman" w:eastAsia="Times New Roman" w:hAnsi="Times New Roman"/>
          <w:sz w:val="22"/>
          <w:szCs w:val="22"/>
          <w:b w:val="1"/>
          <w:bCs w:val="1"/>
          <w:color w:val="auto"/>
        </w:rPr>
        <w:t>Commercialize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Commercialized</w:t>
      </w:r>
      <w:r>
        <w:rPr>
          <w:rFonts w:ascii="Times New Roman" w:cs="Times New Roman" w:eastAsia="Times New Roman" w:hAnsi="Times New Roman"/>
          <w:sz w:val="22"/>
          <w:szCs w:val="22"/>
          <w:color w:val="auto"/>
        </w:rPr>
        <w:t>” have correlative meanings.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1.17“</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1.18“</w:t>
      </w:r>
      <w:r>
        <w:rPr>
          <w:rFonts w:ascii="Times New Roman" w:cs="Times New Roman" w:eastAsia="Times New Roman" w:hAnsi="Times New Roman"/>
          <w:sz w:val="22"/>
          <w:szCs w:val="22"/>
          <w:b w:val="1"/>
          <w:bCs w:val="1"/>
          <w:color w:val="auto"/>
        </w:rPr>
        <w:t>Competitive Product Infringement</w:t>
      </w:r>
      <w:r>
        <w:rPr>
          <w:rFonts w:ascii="Times New Roman" w:cs="Times New Roman" w:eastAsia="Times New Roman" w:hAnsi="Times New Roman"/>
          <w:sz w:val="22"/>
          <w:szCs w:val="22"/>
          <w:color w:val="auto"/>
        </w:rPr>
        <w:t>” has the meaning set forth in Section 8.3.1.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1.19“</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has the meaning set forth in Section 9.1.</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1.20“</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in the context of Patents, Know-How or other intellectual property rights, means the possession by a Party of the ability (whether by ownership, license, or otherwise, other than pursuant to a license granted to such Party by a Party to this Agreement) to grant the applicable access to, or a license or sublicense under this Agreement, without giving rise to any payment obligation to any Third Party (unless such other Party agrees in writing to be responsible for such payments) or any violation of the terms of any written agreement with any Third Party.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has a correlative meaning. Notwithstanding any provision of this Agreement to the contrary, a Party will not be deemed to “Control” any item of Patents, Know-How or other intellectual property rights that (a) prior to the consummation of a Change of Control of such Party, was owned or controlled by any Acquiring Party or (b) following the consummation of such Change of Control of such Party, that any Acquiring Party invents or acquires independently and outside of the activities under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92" w:name="page193"/>
    <w:bookmarkEnd w:id="192"/>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1.21“</w:t>
      </w:r>
      <w:r>
        <w:rPr>
          <w:rFonts w:ascii="Times New Roman" w:cs="Times New Roman" w:eastAsia="Times New Roman" w:hAnsi="Times New Roman"/>
          <w:sz w:val="22"/>
          <w:szCs w:val="22"/>
          <w:b w:val="1"/>
          <w:bCs w:val="1"/>
          <w:color w:val="auto"/>
        </w:rPr>
        <w:t>Cover</w:t>
      </w:r>
      <w:r>
        <w:rPr>
          <w:rFonts w:ascii="Times New Roman" w:cs="Times New Roman" w:eastAsia="Times New Roman" w:hAnsi="Times New Roman"/>
          <w:sz w:val="22"/>
          <w:szCs w:val="22"/>
          <w:color w:val="auto"/>
        </w:rPr>
        <w:t>” means, with respect to any subject matter and a given Patent, the manufacture, use, sale, offering for sale, importation, exportation or other Exploitation of such subject matter would infringe such Patent at the time of such Exploitation; provided that, for purposes of the foregoing, a pending claim within a patent application shall be deemed issued as then-being prosecuted. “</w:t>
      </w:r>
      <w:r>
        <w:rPr>
          <w:rFonts w:ascii="Times New Roman" w:cs="Times New Roman" w:eastAsia="Times New Roman" w:hAnsi="Times New Roman"/>
          <w:sz w:val="22"/>
          <w:szCs w:val="22"/>
          <w:b w:val="1"/>
          <w:bCs w:val="1"/>
          <w:color w:val="auto"/>
        </w:rPr>
        <w:t>Covered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Covering</w:t>
      </w:r>
      <w:r>
        <w:rPr>
          <w:rFonts w:ascii="Times New Roman" w:cs="Times New Roman" w:eastAsia="Times New Roman" w:hAnsi="Times New Roman"/>
          <w:sz w:val="22"/>
          <w:szCs w:val="22"/>
          <w:color w:val="auto"/>
        </w:rPr>
        <w:t>” have correlative meanings.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1.22“</w:t>
      </w:r>
      <w:r>
        <w:rPr>
          <w:rFonts w:ascii="Times New Roman" w:cs="Times New Roman" w:eastAsia="Times New Roman" w:hAnsi="Times New Roman"/>
          <w:sz w:val="22"/>
          <w:szCs w:val="22"/>
          <w:b w:val="1"/>
          <w:bCs w:val="1"/>
          <w:color w:val="auto"/>
        </w:rPr>
        <w:t>Cue Director</w:t>
      </w:r>
      <w:r>
        <w:rPr>
          <w:rFonts w:ascii="Times New Roman" w:cs="Times New Roman" w:eastAsia="Times New Roman" w:hAnsi="Times New Roman"/>
          <w:sz w:val="22"/>
          <w:szCs w:val="22"/>
          <w:color w:val="auto"/>
        </w:rPr>
        <w:t>” has the meaning set forth in Section 7.6.4.</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1.23“</w:t>
      </w:r>
      <w:r>
        <w:rPr>
          <w:rFonts w:ascii="Times New Roman" w:cs="Times New Roman" w:eastAsia="Times New Roman" w:hAnsi="Times New Roman"/>
          <w:sz w:val="22"/>
          <w:szCs w:val="22"/>
          <w:b w:val="1"/>
          <w:bCs w:val="1"/>
          <w:color w:val="auto"/>
        </w:rPr>
        <w:t>Cue Indemnitees</w:t>
      </w:r>
      <w:r>
        <w:rPr>
          <w:rFonts w:ascii="Times New Roman" w:cs="Times New Roman" w:eastAsia="Times New Roman" w:hAnsi="Times New Roman"/>
          <w:sz w:val="22"/>
          <w:szCs w:val="22"/>
          <w:color w:val="auto"/>
        </w:rPr>
        <w:t>” has the meaning set forth in Section 11.1.</w:t>
      </w:r>
    </w:p>
    <w:p>
      <w:pPr>
        <w:spacing w:after="0" w:line="20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color w:val="auto"/>
        </w:rPr>
        <w:t>1.24“</w:t>
      </w:r>
      <w:r>
        <w:rPr>
          <w:rFonts w:ascii="Times New Roman" w:cs="Times New Roman" w:eastAsia="Times New Roman" w:hAnsi="Times New Roman"/>
          <w:sz w:val="21"/>
          <w:szCs w:val="21"/>
          <w:b w:val="1"/>
          <w:bCs w:val="1"/>
          <w:color w:val="auto"/>
        </w:rPr>
        <w:t>Cue Know-How</w:t>
      </w:r>
      <w:r>
        <w:rPr>
          <w:rFonts w:ascii="Times New Roman" w:cs="Times New Roman" w:eastAsia="Times New Roman" w:hAnsi="Times New Roman"/>
          <w:sz w:val="21"/>
          <w:szCs w:val="21"/>
          <w:color w:val="auto"/>
        </w:rPr>
        <w:t>” means all Know-How Controlled by Cue (a) as of the Effective Date or at any time during the Research Period, that is [**] to Exploit CUE-100 Series Subject Molecules in the Field in the Territory (such Know-How, the “</w:t>
      </w:r>
      <w:r>
        <w:rPr>
          <w:rFonts w:ascii="Times New Roman" w:cs="Times New Roman" w:eastAsia="Times New Roman" w:hAnsi="Times New Roman"/>
          <w:sz w:val="21"/>
          <w:szCs w:val="21"/>
          <w:b w:val="1"/>
          <w:bCs w:val="1"/>
          <w:color w:val="auto"/>
        </w:rPr>
        <w:t>CUE-100 Series Know-How</w:t>
      </w:r>
      <w:r>
        <w:rPr>
          <w:rFonts w:ascii="Times New Roman" w:cs="Times New Roman" w:eastAsia="Times New Roman" w:hAnsi="Times New Roman"/>
          <w:sz w:val="21"/>
          <w:szCs w:val="21"/>
          <w:color w:val="auto"/>
        </w:rPr>
        <w:t>”) and (b) as of the Effective Date or at any time during the Term, that is [**] to Exploit Licensed Molecules or Licensed Products in the Field in the Territory (such Know-How, the “</w:t>
      </w:r>
      <w:r>
        <w:rPr>
          <w:rFonts w:ascii="Times New Roman" w:cs="Times New Roman" w:eastAsia="Times New Roman" w:hAnsi="Times New Roman"/>
          <w:sz w:val="21"/>
          <w:szCs w:val="21"/>
          <w:b w:val="1"/>
          <w:bCs w:val="1"/>
          <w:color w:val="auto"/>
        </w:rPr>
        <w:t>Licensed Product Know-How</w:t>
      </w:r>
      <w:r>
        <w:rPr>
          <w:rFonts w:ascii="Times New Roman" w:cs="Times New Roman" w:eastAsia="Times New Roman" w:hAnsi="Times New Roman"/>
          <w:sz w:val="21"/>
          <w:szCs w:val="21"/>
          <w:color w:val="auto"/>
        </w:rPr>
        <w:t>”).</w:t>
      </w:r>
    </w:p>
    <w:p>
      <w:pPr>
        <w:spacing w:after="0" w:line="15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1.25“</w:t>
      </w:r>
      <w:r>
        <w:rPr>
          <w:rFonts w:ascii="Times New Roman" w:cs="Times New Roman" w:eastAsia="Times New Roman" w:hAnsi="Times New Roman"/>
          <w:sz w:val="22"/>
          <w:szCs w:val="22"/>
          <w:b w:val="1"/>
          <w:bCs w:val="1"/>
          <w:color w:val="auto"/>
        </w:rPr>
        <w:t>Cue Licensed IP</w:t>
      </w:r>
      <w:r>
        <w:rPr>
          <w:rFonts w:ascii="Times New Roman" w:cs="Times New Roman" w:eastAsia="Times New Roman" w:hAnsi="Times New Roman"/>
          <w:sz w:val="22"/>
          <w:szCs w:val="22"/>
          <w:color w:val="auto"/>
        </w:rPr>
        <w:t>” means Cue Know-How, Cue Patents, and Cue’s rights in or to any and all Joint Existing IP and Joint Collaboration IP.</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1.26“</w:t>
      </w:r>
      <w:r>
        <w:rPr>
          <w:rFonts w:ascii="Times New Roman" w:cs="Times New Roman" w:eastAsia="Times New Roman" w:hAnsi="Times New Roman"/>
          <w:sz w:val="22"/>
          <w:szCs w:val="22"/>
          <w:b w:val="1"/>
          <w:bCs w:val="1"/>
          <w:color w:val="auto"/>
        </w:rPr>
        <w:t>Cue Patents</w:t>
      </w:r>
      <w:r>
        <w:rPr>
          <w:rFonts w:ascii="Times New Roman" w:cs="Times New Roman" w:eastAsia="Times New Roman" w:hAnsi="Times New Roman"/>
          <w:sz w:val="22"/>
          <w:szCs w:val="22"/>
          <w:color w:val="auto"/>
        </w:rPr>
        <w:t>” means all Patents Controlled by Cue (i) as of the Effective Date or at any time during the Research Period, that Cover any CUE-100 Series Subject Molecules in the Field in the Territory (such Patents, the “</w:t>
      </w:r>
      <w:r>
        <w:rPr>
          <w:rFonts w:ascii="Times New Roman" w:cs="Times New Roman" w:eastAsia="Times New Roman" w:hAnsi="Times New Roman"/>
          <w:sz w:val="22"/>
          <w:szCs w:val="22"/>
          <w:b w:val="1"/>
          <w:bCs w:val="1"/>
          <w:color w:val="auto"/>
        </w:rPr>
        <w:t>CUE-100 Series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which, as of the Effective Date, are as set forth on Exhibit 1.26, and (ii) as of the Effective Date or at any time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 that Cover any Licensed Molecule or Licensed Product in the Field in the Territory (such Patents, the “</w:t>
      </w:r>
      <w:r>
        <w:rPr>
          <w:rFonts w:ascii="Times New Roman" w:cs="Times New Roman" w:eastAsia="Times New Roman" w:hAnsi="Times New Roman"/>
          <w:sz w:val="22"/>
          <w:szCs w:val="22"/>
          <w:b w:val="1"/>
          <w:bCs w:val="1"/>
          <w:color w:val="auto"/>
        </w:rPr>
        <w:t>Licensed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Product Patents</w:t>
      </w:r>
      <w:r>
        <w:rPr>
          <w:rFonts w:ascii="Times New Roman" w:cs="Times New Roman" w:eastAsia="Times New Roman" w:hAnsi="Times New Roman"/>
          <w:sz w:val="22"/>
          <w:szCs w:val="22"/>
          <w:color w:val="auto"/>
        </w:rPr>
        <w:t>”). For clarity, Cue Patents include Cue’s rights in the Joint Collaboration Patents and Joint Existing Patents.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provision of this Agreement to the contrary, Licensed Product Patents do not include any Patent that only Covers an Other Active Ingredient.</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1.27“</w:t>
      </w:r>
      <w:r>
        <w:rPr>
          <w:rFonts w:ascii="Times New Roman" w:cs="Times New Roman" w:eastAsia="Times New Roman" w:hAnsi="Times New Roman"/>
          <w:sz w:val="22"/>
          <w:szCs w:val="22"/>
          <w:b w:val="1"/>
          <w:bCs w:val="1"/>
          <w:color w:val="auto"/>
        </w:rPr>
        <w:t>Cue Product Patent</w:t>
      </w:r>
      <w:r>
        <w:rPr>
          <w:rFonts w:ascii="Times New Roman" w:cs="Times New Roman" w:eastAsia="Times New Roman" w:hAnsi="Times New Roman"/>
          <w:sz w:val="22"/>
          <w:szCs w:val="22"/>
          <w:color w:val="auto"/>
        </w:rPr>
        <w:t>” means any Cue Patent (other than a Joint IMSCP/Cue Patent or a Patent that Cue licenses from [**]) that Covers (i) a CUE-100 Series Subject Molecule [**] by IMSCP, its Affiliates or its Sublicensees, (ii) a Licensed Molecule or (iii) a Licensed Product.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1.28“</w:t>
      </w:r>
      <w:r>
        <w:rPr>
          <w:rFonts w:ascii="Times New Roman" w:cs="Times New Roman" w:eastAsia="Times New Roman" w:hAnsi="Times New Roman"/>
          <w:sz w:val="22"/>
          <w:szCs w:val="22"/>
          <w:b w:val="1"/>
          <w:bCs w:val="1"/>
          <w:color w:val="auto"/>
        </w:rPr>
        <w:t>Cue Taxes</w:t>
      </w:r>
      <w:r>
        <w:rPr>
          <w:rFonts w:ascii="Times New Roman" w:cs="Times New Roman" w:eastAsia="Times New Roman" w:hAnsi="Times New Roman"/>
          <w:sz w:val="22"/>
          <w:szCs w:val="22"/>
          <w:color w:val="auto"/>
        </w:rPr>
        <w:t>” has the meaning set forth in Section 7.11.</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1.29</w:t>
      </w:r>
      <w:r>
        <w:rPr>
          <w:rFonts w:ascii="Times New Roman" w:cs="Times New Roman" w:eastAsia="Times New Roman" w:hAnsi="Times New Roman"/>
          <w:sz w:val="22"/>
          <w:szCs w:val="22"/>
          <w:b w:val="1"/>
          <w:bCs w:val="1"/>
          <w:color w:val="auto"/>
        </w:rPr>
        <w:t>"CUE-100 Series Excluded Rights”</w:t>
      </w:r>
      <w:r>
        <w:rPr>
          <w:rFonts w:ascii="Times New Roman" w:cs="Times New Roman" w:eastAsia="Times New Roman" w:hAnsi="Times New Roman"/>
          <w:sz w:val="22"/>
          <w:szCs w:val="22"/>
          <w:color w:val="auto"/>
        </w:rPr>
        <w:t xml:space="preserve"> means (a) during the Restricted Period, [**] and (b) following the Restricted Period, [**].</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1.30“</w:t>
      </w:r>
      <w:r>
        <w:rPr>
          <w:rFonts w:ascii="Times New Roman" w:cs="Times New Roman" w:eastAsia="Times New Roman" w:hAnsi="Times New Roman"/>
          <w:sz w:val="22"/>
          <w:szCs w:val="22"/>
          <w:b w:val="1"/>
          <w:bCs w:val="1"/>
          <w:color w:val="auto"/>
        </w:rPr>
        <w:t>CUE-100 Series Molecule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1.31“</w:t>
      </w:r>
      <w:r>
        <w:rPr>
          <w:rFonts w:ascii="Times New Roman" w:cs="Times New Roman" w:eastAsia="Times New Roman" w:hAnsi="Times New Roman"/>
          <w:sz w:val="22"/>
          <w:szCs w:val="22"/>
          <w:b w:val="1"/>
          <w:bCs w:val="1"/>
          <w:color w:val="auto"/>
        </w:rPr>
        <w:t>CUE-100 Series Subject Molecule</w:t>
      </w:r>
      <w:r>
        <w:rPr>
          <w:rFonts w:ascii="Times New Roman" w:cs="Times New Roman" w:eastAsia="Times New Roman" w:hAnsi="Times New Roman"/>
          <w:sz w:val="22"/>
          <w:szCs w:val="22"/>
          <w:color w:val="auto"/>
        </w:rPr>
        <w:t>” means a CUE-100 Series Molecule that is Directed To a target in the Field, in each case subject to the CUE-100 Series Excluded Rights.</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1.32“</w:t>
      </w:r>
      <w:r>
        <w:rPr>
          <w:rFonts w:ascii="Times New Roman" w:cs="Times New Roman" w:eastAsia="Times New Roman" w:hAnsi="Times New Roman"/>
          <w:sz w:val="22"/>
          <w:szCs w:val="22"/>
          <w:b w:val="1"/>
          <w:bCs w:val="1"/>
          <w:color w:val="auto"/>
        </w:rPr>
        <w:t>CUE-100 Series Technology</w:t>
      </w:r>
      <w:r>
        <w:rPr>
          <w:rFonts w:ascii="Times New Roman" w:cs="Times New Roman" w:eastAsia="Times New Roman" w:hAnsi="Times New Roman"/>
          <w:sz w:val="22"/>
          <w:szCs w:val="22"/>
          <w:color w:val="auto"/>
        </w:rPr>
        <w:t>” means the CUE-100 Series Know-How, CUE-100 Series Patents, and Cue’s rights in or to any and all Joint Existing IP and Joint Collaboration IP.</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93" w:name="page194"/>
    <w:bookmarkEnd w:id="193"/>
    <w:p>
      <w:pPr>
        <w:ind w:left="760"/>
        <w:spacing w:after="0"/>
        <w:rPr>
          <w:sz w:val="20"/>
          <w:szCs w:val="20"/>
          <w:color w:val="auto"/>
        </w:rPr>
      </w:pPr>
      <w:r>
        <w:rPr>
          <w:rFonts w:ascii="Times New Roman" w:cs="Times New Roman" w:eastAsia="Times New Roman" w:hAnsi="Times New Roman"/>
          <w:sz w:val="22"/>
          <w:szCs w:val="22"/>
          <w:color w:val="auto"/>
        </w:rPr>
        <w:t>1.33“</w:t>
      </w:r>
      <w:r>
        <w:rPr>
          <w:rFonts w:ascii="Times New Roman" w:cs="Times New Roman" w:eastAsia="Times New Roman" w:hAnsi="Times New Roman"/>
          <w:sz w:val="22"/>
          <w:szCs w:val="22"/>
          <w:b w:val="1"/>
          <w:bCs w:val="1"/>
          <w:color w:val="auto"/>
        </w:rPr>
        <w:t>CUE-101 Molecule</w:t>
      </w:r>
      <w:r>
        <w:rPr>
          <w:rFonts w:ascii="Times New Roman" w:cs="Times New Roman" w:eastAsia="Times New Roman" w:hAnsi="Times New Roman"/>
          <w:sz w:val="22"/>
          <w:szCs w:val="22"/>
          <w:color w:val="auto"/>
        </w:rPr>
        <w:t>” means any CUE-100 Series Molecule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1.34“</w:t>
      </w:r>
      <w:r>
        <w:rPr>
          <w:rFonts w:ascii="Times New Roman" w:cs="Times New Roman" w:eastAsia="Times New Roman" w:hAnsi="Times New Roman"/>
          <w:sz w:val="22"/>
          <w:szCs w:val="22"/>
          <w:b w:val="1"/>
          <w:bCs w:val="1"/>
          <w:color w:val="auto"/>
        </w:rPr>
        <w:t>CUE-102 Molecule</w:t>
      </w:r>
      <w:r>
        <w:rPr>
          <w:rFonts w:ascii="Times New Roman" w:cs="Times New Roman" w:eastAsia="Times New Roman" w:hAnsi="Times New Roman"/>
          <w:sz w:val="22"/>
          <w:szCs w:val="22"/>
          <w:color w:val="auto"/>
        </w:rPr>
        <w:t>” means any CUE-100 Series Molecule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1.35“</w:t>
      </w:r>
      <w:r>
        <w:rPr>
          <w:rFonts w:ascii="Times New Roman" w:cs="Times New Roman" w:eastAsia="Times New Roman" w:hAnsi="Times New Roman"/>
          <w:sz w:val="22"/>
          <w:szCs w:val="22"/>
          <w:b w:val="1"/>
          <w:bCs w:val="1"/>
          <w:color w:val="auto"/>
        </w:rPr>
        <w:t>Deliverables</w:t>
      </w:r>
      <w:r>
        <w:rPr>
          <w:rFonts w:ascii="Times New Roman" w:cs="Times New Roman" w:eastAsia="Times New Roman" w:hAnsi="Times New Roman"/>
          <w:sz w:val="22"/>
          <w:szCs w:val="22"/>
          <w:color w:val="auto"/>
        </w:rPr>
        <w:t>” has the meaning set forth in Section 2.1.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1.36“</w:t>
      </w:r>
      <w:r>
        <w:rPr>
          <w:rFonts w:ascii="Times New Roman" w:cs="Times New Roman" w:eastAsia="Times New Roman" w:hAnsi="Times New Roman"/>
          <w:sz w:val="22"/>
          <w:szCs w:val="22"/>
          <w:b w:val="1"/>
          <w:bCs w:val="1"/>
          <w:color w:val="auto"/>
        </w:rPr>
        <w:t>Developing Countries</w:t>
      </w:r>
      <w:r>
        <w:rPr>
          <w:rFonts w:ascii="Times New Roman" w:cs="Times New Roman" w:eastAsia="Times New Roman" w:hAnsi="Times New Roman"/>
          <w:sz w:val="22"/>
          <w:szCs w:val="22"/>
          <w:color w:val="auto"/>
        </w:rPr>
        <w:t>” has the meaning set forth in Exhibit 3.6.</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1.37“</w:t>
      </w:r>
      <w:r>
        <w:rPr>
          <w:rFonts w:ascii="Times New Roman" w:cs="Times New Roman" w:eastAsia="Times New Roman" w:hAnsi="Times New Roman"/>
          <w:sz w:val="22"/>
          <w:szCs w:val="22"/>
          <w:b w:val="1"/>
          <w:bCs w:val="1"/>
          <w:color w:val="auto"/>
        </w:rPr>
        <w:t>Development</w:t>
      </w:r>
      <w:r>
        <w:rPr>
          <w:rFonts w:ascii="Times New Roman" w:cs="Times New Roman" w:eastAsia="Times New Roman" w:hAnsi="Times New Roman"/>
          <w:sz w:val="22"/>
          <w:szCs w:val="22"/>
          <w:color w:val="auto"/>
        </w:rPr>
        <w:t>” means: (a) conducting clinical development activities and other development activities for a compound or product, (b) obtaining or maintaining Regulatory Approval of a product, (c) developing the process for the manufacture of clinical and commercial quantities of a compound or product, (d) the conduct of any human clinical trial of a product, (e) the preparation, submission, review and development of data or information in support of a submission to a Regulatory Authority to obtain or maintain Regulatory Approval of a product, including the performance of IND Enabling Studies, and (f) manufacturing of a compound or product to the extent for use in any of the foregoing activities. Development excludes Research and Commercialization (including the manufacture and accumulation of commercial inventory of a product). “</w:t>
      </w:r>
      <w:r>
        <w:rPr>
          <w:rFonts w:ascii="Times New Roman" w:cs="Times New Roman" w:eastAsia="Times New Roman" w:hAnsi="Times New Roman"/>
          <w:sz w:val="22"/>
          <w:szCs w:val="22"/>
          <w:b w:val="1"/>
          <w:bCs w:val="1"/>
          <w:color w:val="auto"/>
        </w:rPr>
        <w:t>Develop</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Developing</w:t>
      </w:r>
      <w:r>
        <w:rPr>
          <w:rFonts w:ascii="Times New Roman" w:cs="Times New Roman" w:eastAsia="Times New Roman" w:hAnsi="Times New Roman"/>
          <w:sz w:val="22"/>
          <w:szCs w:val="22"/>
          <w:color w:val="auto"/>
        </w:rPr>
        <w:t>” have correlative meanings.</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1.38“</w:t>
      </w:r>
      <w:r>
        <w:rPr>
          <w:rFonts w:ascii="Times New Roman" w:cs="Times New Roman" w:eastAsia="Times New Roman" w:hAnsi="Times New Roman"/>
          <w:sz w:val="22"/>
          <w:szCs w:val="22"/>
          <w:b w:val="1"/>
          <w:bCs w:val="1"/>
          <w:color w:val="auto"/>
        </w:rPr>
        <w:t>Directed To</w:t>
      </w:r>
      <w:r>
        <w:rPr>
          <w:rFonts w:ascii="Times New Roman" w:cs="Times New Roman" w:eastAsia="Times New Roman" w:hAnsi="Times New Roman"/>
          <w:sz w:val="22"/>
          <w:szCs w:val="22"/>
          <w:color w:val="auto"/>
        </w:rPr>
        <w:t>” means, with respect to a given compound or product, on one hand, and a given target, on the other hand, such compound or product specifically binds to and, as its intended mechanism of action, modulates such target, which such binding and modulation is specifically intended to provide a therapeutic, prophylactic or palliative benefit.</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1.39“</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has the meaning set forth in Section 9.1.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1.40“</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has the meaning set forth in Section 13.1.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1.41“</w:t>
      </w:r>
      <w:r>
        <w:rPr>
          <w:rFonts w:ascii="Times New Roman" w:cs="Times New Roman" w:eastAsia="Times New Roman" w:hAnsi="Times New Roman"/>
          <w:sz w:val="22"/>
          <w:szCs w:val="22"/>
          <w:b w:val="1"/>
          <w:bCs w:val="1"/>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United States Dollars.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1.42“</w:t>
      </w:r>
      <w:r>
        <w:rPr>
          <w:rFonts w:ascii="Times New Roman" w:cs="Times New Roman" w:eastAsia="Times New Roman" w:hAnsi="Times New Roman"/>
          <w:sz w:val="22"/>
          <w:szCs w:val="22"/>
          <w:b w:val="1"/>
          <w:bCs w:val="1"/>
          <w:color w:val="auto"/>
        </w:rPr>
        <w:t>EAR</w:t>
      </w:r>
      <w:r>
        <w:rPr>
          <w:rFonts w:ascii="Times New Roman" w:cs="Times New Roman" w:eastAsia="Times New Roman" w:hAnsi="Times New Roman"/>
          <w:sz w:val="22"/>
          <w:szCs w:val="22"/>
          <w:color w:val="auto"/>
        </w:rPr>
        <w:t>” has the meaning set forth in Section 10.2.1.</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b w:val="1"/>
          <w:bCs w:val="1"/>
          <w:color w:val="auto"/>
        </w:rPr>
        <w:t>License Agreement</w:t>
      </w:r>
      <w:r>
        <w:rPr>
          <w:rFonts w:ascii="Times New Roman" w:cs="Times New Roman" w:eastAsia="Times New Roman" w:hAnsi="Times New Roman"/>
          <w:sz w:val="22"/>
          <w:szCs w:val="22"/>
          <w:color w:val="auto"/>
        </w:rPr>
        <w:t>” means the exclusive Amended and Restated License Agreement between Cue and [**] dated [**].</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b w:val="1"/>
          <w:bCs w:val="1"/>
          <w:color w:val="auto"/>
        </w:rPr>
        <w:t>Licensed IP</w:t>
      </w:r>
      <w:r>
        <w:rPr>
          <w:rFonts w:ascii="Times New Roman" w:cs="Times New Roman" w:eastAsia="Times New Roman" w:hAnsi="Times New Roman"/>
          <w:sz w:val="22"/>
          <w:szCs w:val="22"/>
          <w:color w:val="auto"/>
        </w:rPr>
        <w:t>” has the meaning set forth in Section 3.3.1.</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1.45“</w:t>
      </w:r>
      <w:r>
        <w:rPr>
          <w:rFonts w:ascii="Times New Roman" w:cs="Times New Roman" w:eastAsia="Times New Roman" w:hAnsi="Times New Roman"/>
          <w:sz w:val="22"/>
          <w:szCs w:val="22"/>
          <w:b w:val="1"/>
          <w:bCs w:val="1"/>
          <w:color w:val="auto"/>
        </w:rPr>
        <w:t>EMA</w:t>
      </w:r>
      <w:r>
        <w:rPr>
          <w:rFonts w:ascii="Times New Roman" w:cs="Times New Roman" w:eastAsia="Times New Roman" w:hAnsi="Times New Roman"/>
          <w:sz w:val="22"/>
          <w:szCs w:val="22"/>
          <w:color w:val="auto"/>
        </w:rPr>
        <w:t>” means the European Medicines Agency or any successor agency or authority. For all purposes of this Agreement, any action or inaction (including the grant of any Regulatory Approval) by the MHRA shall be deemed an action or inaction by the EMA.</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1.46“</w:t>
      </w:r>
      <w:r>
        <w:rPr>
          <w:rFonts w:ascii="Times New Roman" w:cs="Times New Roman" w:eastAsia="Times New Roman" w:hAnsi="Times New Roman"/>
          <w:sz w:val="22"/>
          <w:szCs w:val="22"/>
          <w:b w:val="1"/>
          <w:bCs w:val="1"/>
          <w:color w:val="auto"/>
        </w:rPr>
        <w:t>EU</w:t>
      </w:r>
      <w:r>
        <w:rPr>
          <w:rFonts w:ascii="Times New Roman" w:cs="Times New Roman" w:eastAsia="Times New Roman" w:hAnsi="Times New Roman"/>
          <w:sz w:val="22"/>
          <w:szCs w:val="22"/>
          <w:color w:val="auto"/>
        </w:rPr>
        <w:t>” means any and all of the member states of the European Union, as may be updated from time to time.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the foregoing, the EU includes the United Kingdom and its countries and territories.</w:t>
      </w:r>
    </w:p>
    <w:p>
      <w:pPr>
        <w:spacing w:after="0" w:line="17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1.47“</w:t>
      </w:r>
      <w:r>
        <w:rPr>
          <w:rFonts w:ascii="Times New Roman" w:cs="Times New Roman" w:eastAsia="Times New Roman" w:hAnsi="Times New Roman"/>
          <w:sz w:val="22"/>
          <w:szCs w:val="22"/>
          <w:b w:val="1"/>
          <w:bCs w:val="1"/>
          <w:color w:val="auto"/>
        </w:rPr>
        <w:t>Executive Officer</w:t>
      </w:r>
      <w:r>
        <w:rPr>
          <w:rFonts w:ascii="Times New Roman" w:cs="Times New Roman" w:eastAsia="Times New Roman" w:hAnsi="Times New Roman"/>
          <w:sz w:val="22"/>
          <w:szCs w:val="22"/>
          <w:color w:val="auto"/>
        </w:rPr>
        <w:t>” means, with respect to a Party, such Party’s Chief Executive Officer or such Chief Executive Officer’s designated representative having sufficient authority to discuss, address or resolve the applicable matter.</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94" w:name="page195"/>
    <w:bookmarkEnd w:id="194"/>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1.48“</w:t>
      </w:r>
      <w:r>
        <w:rPr>
          <w:rFonts w:ascii="Times New Roman" w:cs="Times New Roman" w:eastAsia="Times New Roman" w:hAnsi="Times New Roman"/>
          <w:sz w:val="22"/>
          <w:szCs w:val="22"/>
          <w:b w:val="1"/>
          <w:bCs w:val="1"/>
          <w:color w:val="auto"/>
        </w:rPr>
        <w:t>Exploit</w:t>
      </w:r>
      <w:r>
        <w:rPr>
          <w:rFonts w:ascii="Times New Roman" w:cs="Times New Roman" w:eastAsia="Times New Roman" w:hAnsi="Times New Roman"/>
          <w:sz w:val="22"/>
          <w:szCs w:val="22"/>
          <w:color w:val="auto"/>
        </w:rPr>
        <w:t>” means to Research, Develop, Commercialize and/or otherwise exploit (including to use, manufacture, have manufactured, sell, have sold, offer for sale, commercialize, import, have imported, distribute, have distributed, export, or have exported). “</w:t>
      </w:r>
      <w:r>
        <w:rPr>
          <w:rFonts w:ascii="Times New Roman" w:cs="Times New Roman" w:eastAsia="Times New Roman" w:hAnsi="Times New Roman"/>
          <w:sz w:val="22"/>
          <w:szCs w:val="22"/>
          <w:b w:val="1"/>
          <w:bCs w:val="1"/>
          <w:color w:val="auto"/>
        </w:rPr>
        <w:t>Exploitation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Exploited</w:t>
      </w:r>
      <w:r>
        <w:rPr>
          <w:rFonts w:ascii="Times New Roman" w:cs="Times New Roman" w:eastAsia="Times New Roman" w:hAnsi="Times New Roman"/>
          <w:sz w:val="22"/>
          <w:szCs w:val="22"/>
          <w:color w:val="auto"/>
        </w:rPr>
        <w:t>” have correlative meanings.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1.49“</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 has the meaning set forth in Section 10.4.4.</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1.50“</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means the United States Food and Drug Administration, or any successor agency or authority.</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1.51“</w:t>
      </w:r>
      <w:r>
        <w:rPr>
          <w:rFonts w:ascii="Times New Roman" w:cs="Times New Roman" w:eastAsia="Times New Roman" w:hAnsi="Times New Roman"/>
          <w:sz w:val="22"/>
          <w:szCs w:val="22"/>
          <w:b w:val="1"/>
          <w:bCs w:val="1"/>
          <w:color w:val="auto"/>
        </w:rPr>
        <w:t>FDCA</w:t>
      </w:r>
      <w:r>
        <w:rPr>
          <w:rFonts w:ascii="Times New Roman" w:cs="Times New Roman" w:eastAsia="Times New Roman" w:hAnsi="Times New Roman"/>
          <w:sz w:val="22"/>
          <w:szCs w:val="22"/>
          <w:color w:val="auto"/>
        </w:rPr>
        <w:t xml:space="preserve">” means the United States Federal Food, Drug, and Cosmetic Act, 21 U.S.C. 301,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and the rules, regulations, guidance, guidelines and requirements promulgated or issued thereunder.</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1.52“</w:t>
      </w:r>
      <w:r>
        <w:rPr>
          <w:rFonts w:ascii="Times New Roman" w:cs="Times New Roman" w:eastAsia="Times New Roman" w:hAnsi="Times New Roman"/>
          <w:sz w:val="22"/>
          <w:szCs w:val="22"/>
          <w:b w:val="1"/>
          <w:bCs w:val="1"/>
          <w:color w:val="auto"/>
        </w:rPr>
        <w:t>Field</w:t>
      </w:r>
      <w:r>
        <w:rPr>
          <w:rFonts w:ascii="Times New Roman" w:cs="Times New Roman" w:eastAsia="Times New Roman" w:hAnsi="Times New Roman"/>
          <w:sz w:val="22"/>
          <w:szCs w:val="22"/>
          <w:color w:val="auto"/>
        </w:rPr>
        <w:t>” means oncology, including any and all diagnostic, prophylactic, therapeutic and palliative uses and applications, in each case, to the extent for oncology Indications. Notwithstanding any provision of this Agreement to the contrary, Field does not include any use of a CUE-100 Series Subject Molecule, whether alone or as a Combination Product with any other active agent or therapy (e.g., CAR-T cell therapy), that is administered for the purpose of [**].</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1.53“</w:t>
      </w:r>
      <w:r>
        <w:rPr>
          <w:rFonts w:ascii="Times New Roman" w:cs="Times New Roman" w:eastAsia="Times New Roman" w:hAnsi="Times New Roman"/>
          <w:sz w:val="22"/>
          <w:szCs w:val="22"/>
          <w:b w:val="1"/>
          <w:bCs w:val="1"/>
          <w:color w:val="auto"/>
        </w:rPr>
        <w:t>First Commercial Sale</w:t>
      </w:r>
      <w:r>
        <w:rPr>
          <w:rFonts w:ascii="Times New Roman" w:cs="Times New Roman" w:eastAsia="Times New Roman" w:hAnsi="Times New Roman"/>
          <w:sz w:val="22"/>
          <w:szCs w:val="22"/>
          <w:color w:val="auto"/>
        </w:rPr>
        <w:t>” means, with respect to a given Licensed Product in a given country or in the Territory (as applicable), the first sale for value for use or consumption of such Licensed Product in such country after such Licensed Product receives Regulatory Approval in such country and on which Net Sales accrue.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1.54“</w:t>
      </w:r>
      <w:r>
        <w:rPr>
          <w:rFonts w:ascii="Times New Roman" w:cs="Times New Roman" w:eastAsia="Times New Roman" w:hAnsi="Times New Roman"/>
          <w:sz w:val="22"/>
          <w:szCs w:val="22"/>
          <w:b w:val="1"/>
          <w:bCs w:val="1"/>
          <w:color w:val="auto"/>
        </w:rPr>
        <w:t>First Warrant</w:t>
      </w:r>
      <w:r>
        <w:rPr>
          <w:rFonts w:ascii="Times New Roman" w:cs="Times New Roman" w:eastAsia="Times New Roman" w:hAnsi="Times New Roman"/>
          <w:sz w:val="22"/>
          <w:szCs w:val="22"/>
          <w:color w:val="auto"/>
        </w:rPr>
        <w:t>” has the meaning set forth in Section 7.6.2.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1.55“</w:t>
      </w:r>
      <w:r>
        <w:rPr>
          <w:rFonts w:ascii="Times New Roman" w:cs="Times New Roman" w:eastAsia="Times New Roman" w:hAnsi="Times New Roman"/>
          <w:sz w:val="22"/>
          <w:szCs w:val="22"/>
          <w:b w:val="1"/>
          <w:bCs w:val="1"/>
          <w:color w:val="auto"/>
        </w:rPr>
        <w:t>FTE</w:t>
      </w:r>
      <w:r>
        <w:rPr>
          <w:rFonts w:ascii="Times New Roman" w:cs="Times New Roman" w:eastAsia="Times New Roman" w:hAnsi="Times New Roman"/>
          <w:sz w:val="22"/>
          <w:szCs w:val="22"/>
          <w:color w:val="auto"/>
        </w:rPr>
        <w:t>” has the meaning set forth in Exhibit 1.141.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1.56“</w:t>
      </w:r>
      <w:r>
        <w:rPr>
          <w:rFonts w:ascii="Times New Roman" w:cs="Times New Roman" w:eastAsia="Times New Roman" w:hAnsi="Times New Roman"/>
          <w:sz w:val="22"/>
          <w:szCs w:val="22"/>
          <w:b w:val="1"/>
          <w:bCs w:val="1"/>
          <w:color w:val="auto"/>
        </w:rPr>
        <w:t>FTE Cost</w:t>
      </w:r>
      <w:r>
        <w:rPr>
          <w:rFonts w:ascii="Times New Roman" w:cs="Times New Roman" w:eastAsia="Times New Roman" w:hAnsi="Times New Roman"/>
          <w:sz w:val="22"/>
          <w:szCs w:val="22"/>
          <w:color w:val="auto"/>
        </w:rPr>
        <w:t>” has the meaning set forth in Exhibit 1.141.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1.57“</w:t>
      </w:r>
      <w:r>
        <w:rPr>
          <w:rFonts w:ascii="Times New Roman" w:cs="Times New Roman" w:eastAsia="Times New Roman" w:hAnsi="Times New Roman"/>
          <w:sz w:val="22"/>
          <w:szCs w:val="22"/>
          <w:b w:val="1"/>
          <w:bCs w:val="1"/>
          <w:color w:val="auto"/>
        </w:rPr>
        <w:t>FTE Rate</w:t>
      </w:r>
      <w:r>
        <w:rPr>
          <w:rFonts w:ascii="Times New Roman" w:cs="Times New Roman" w:eastAsia="Times New Roman" w:hAnsi="Times New Roman"/>
          <w:sz w:val="22"/>
          <w:szCs w:val="22"/>
          <w:color w:val="auto"/>
        </w:rPr>
        <w:t>” has the meaning set forth in Exhibit 1.141.</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1.58“</w:t>
      </w:r>
      <w:r>
        <w:rPr>
          <w:rFonts w:ascii="Times New Roman" w:cs="Times New Roman" w:eastAsia="Times New Roman" w:hAnsi="Times New Roman"/>
          <w:sz w:val="22"/>
          <w:szCs w:val="22"/>
          <w:b w:val="1"/>
          <w:bCs w:val="1"/>
          <w:color w:val="auto"/>
        </w:rPr>
        <w:t>Fully-Diluted Capitalization</w:t>
      </w:r>
      <w:r>
        <w:rPr>
          <w:rFonts w:ascii="Times New Roman" w:cs="Times New Roman" w:eastAsia="Times New Roman" w:hAnsi="Times New Roman"/>
          <w:sz w:val="22"/>
          <w:szCs w:val="22"/>
          <w:color w:val="auto"/>
        </w:rPr>
        <w:t>” means (a) all of the issued and outstanding ordinary shares, preference shares, and other equity securities of IMSCP (calculated on an as-converted to ordinary shares basis); (b) any issued and outstanding security that is convertible, with or without consideration, in any shares of ordinary shares, preference shares, or other equity security of IMSCP (calculated on an as-converted to ordinary shares basis); and (c) any issued and outstanding warrants to purchase shares of ordinary shares, preference shares, or other equity security of IMSCP (calculated on an as-exercised, as-converted to ordinary shares basis); excluding, in each case, (i) any options issued after the Effective Date from the unallocated portion of IMSCP’s incentive stock option plan as such plan may be amended from time to time by IMSCP and (ii) upon a Change of Control of IMSCP any options, warrants, and convertible securities that are “out of the money” or otherwise not converted in the Change of Control of IMSCP.</w:t>
      </w:r>
    </w:p>
    <w:p>
      <w:pPr>
        <w:spacing w:after="0" w:line="17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1.59“</w:t>
      </w:r>
      <w:r>
        <w:rPr>
          <w:rFonts w:ascii="Times New Roman" w:cs="Times New Roman" w:eastAsia="Times New Roman" w:hAnsi="Times New Roman"/>
          <w:sz w:val="22"/>
          <w:szCs w:val="22"/>
          <w:b w:val="1"/>
          <w:bCs w:val="1"/>
          <w:color w:val="auto"/>
        </w:rPr>
        <w:t>Good Laboratory Practice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GLP</w:t>
      </w:r>
      <w:r>
        <w:rPr>
          <w:rFonts w:ascii="Times New Roman" w:cs="Times New Roman" w:eastAsia="Times New Roman" w:hAnsi="Times New Roman"/>
          <w:sz w:val="22"/>
          <w:szCs w:val="22"/>
          <w:color w:val="auto"/>
        </w:rPr>
        <w:t>” means the current standards for laboratory activities for pharmaceuticals, as set forth in the FDA’s Good Laboratory Practice regulations or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95" w:name="page196"/>
    <w:bookmarkEnd w:id="195"/>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Good Laboratory Practice principles of the Organization for Economic Co-Operation and Development, as amended from time to time.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1.60“</w:t>
      </w:r>
      <w:r>
        <w:rPr>
          <w:rFonts w:ascii="Times New Roman" w:cs="Times New Roman" w:eastAsia="Times New Roman" w:hAnsi="Times New Roman"/>
          <w:sz w:val="22"/>
          <w:szCs w:val="22"/>
          <w:b w:val="1"/>
          <w:bCs w:val="1"/>
          <w:color w:val="auto"/>
        </w:rPr>
        <w:t>Government Official</w:t>
      </w:r>
      <w:r>
        <w:rPr>
          <w:rFonts w:ascii="Times New Roman" w:cs="Times New Roman" w:eastAsia="Times New Roman" w:hAnsi="Times New Roman"/>
          <w:sz w:val="22"/>
          <w:szCs w:val="22"/>
          <w:color w:val="auto"/>
        </w:rPr>
        <w:t>” has the meaning set forth in Section 10.4.4.</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1.61“</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court, agency, department, authority or other instrumentality of any national, state, county, city or other political subdivision.</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1.62“</w:t>
      </w:r>
      <w:r>
        <w:rPr>
          <w:rFonts w:ascii="Times New Roman" w:cs="Times New Roman" w:eastAsia="Times New Roman" w:hAnsi="Times New Roman"/>
          <w:sz w:val="22"/>
          <w:szCs w:val="22"/>
          <w:b w:val="1"/>
          <w:bCs w:val="1"/>
          <w:color w:val="auto"/>
        </w:rPr>
        <w:t>Immuno-STAT Molecule</w:t>
      </w:r>
      <w:r>
        <w:rPr>
          <w:rFonts w:ascii="Times New Roman" w:cs="Times New Roman" w:eastAsia="Times New Roman" w:hAnsi="Times New Roman"/>
          <w:sz w:val="22"/>
          <w:szCs w:val="22"/>
          <w:color w:val="auto"/>
        </w:rPr>
        <w:t>” means a molecule that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1.63“</w:t>
      </w:r>
      <w:r>
        <w:rPr>
          <w:rFonts w:ascii="Times New Roman" w:cs="Times New Roman" w:eastAsia="Times New Roman" w:hAnsi="Times New Roman"/>
          <w:sz w:val="22"/>
          <w:szCs w:val="22"/>
          <w:b w:val="1"/>
          <w:bCs w:val="1"/>
          <w:color w:val="auto"/>
        </w:rPr>
        <w:t>IMSCP Indemnitees</w:t>
      </w:r>
      <w:r>
        <w:rPr>
          <w:rFonts w:ascii="Times New Roman" w:cs="Times New Roman" w:eastAsia="Times New Roman" w:hAnsi="Times New Roman"/>
          <w:sz w:val="22"/>
          <w:szCs w:val="22"/>
          <w:color w:val="auto"/>
        </w:rPr>
        <w:t>” has the meaning set forth in Section 11.2.</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1.64</w:t>
      </w:r>
      <w:r>
        <w:rPr>
          <w:rFonts w:ascii="Times New Roman" w:cs="Times New Roman" w:eastAsia="Times New Roman" w:hAnsi="Times New Roman"/>
          <w:sz w:val="22"/>
          <w:szCs w:val="22"/>
          <w:b w:val="1"/>
          <w:bCs w:val="1"/>
          <w:color w:val="auto"/>
        </w:rPr>
        <w:t>“IMSCP Licensed IP”</w:t>
      </w:r>
      <w:r>
        <w:rPr>
          <w:rFonts w:ascii="Times New Roman" w:cs="Times New Roman" w:eastAsia="Times New Roman" w:hAnsi="Times New Roman"/>
          <w:sz w:val="22"/>
          <w:szCs w:val="22"/>
          <w:color w:val="auto"/>
        </w:rPr>
        <w:t xml:space="preserve"> means the IMSCP Know-How, IMSCP Patents, and IMSCP’s rights in or to any and all Joint Existing IP and Joint Collaboration IP.</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1.65</w:t>
      </w:r>
      <w:r>
        <w:rPr>
          <w:rFonts w:ascii="Times New Roman" w:cs="Times New Roman" w:eastAsia="Times New Roman" w:hAnsi="Times New Roman"/>
          <w:sz w:val="22"/>
          <w:szCs w:val="22"/>
          <w:b w:val="1"/>
          <w:bCs w:val="1"/>
          <w:color w:val="auto"/>
        </w:rPr>
        <w:t>“IMSCP Know-How”</w:t>
      </w:r>
      <w:r>
        <w:rPr>
          <w:rFonts w:ascii="Times New Roman" w:cs="Times New Roman" w:eastAsia="Times New Roman" w:hAnsi="Times New Roman"/>
          <w:sz w:val="22"/>
          <w:szCs w:val="22"/>
          <w:color w:val="auto"/>
        </w:rPr>
        <w:t xml:space="preserve"> means all Know-How Controlled by IMSCP, as of the Effective Date or at any time during the Term, that is [**] to perform the Transfer Plan.</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1.66“</w:t>
      </w:r>
      <w:r>
        <w:rPr>
          <w:rFonts w:ascii="Times New Roman" w:cs="Times New Roman" w:eastAsia="Times New Roman" w:hAnsi="Times New Roman"/>
          <w:sz w:val="22"/>
          <w:szCs w:val="22"/>
          <w:b w:val="1"/>
          <w:bCs w:val="1"/>
          <w:color w:val="auto"/>
        </w:rPr>
        <w:t>IMSCP Patents</w:t>
      </w:r>
      <w:r>
        <w:rPr>
          <w:rFonts w:ascii="Times New Roman" w:cs="Times New Roman" w:eastAsia="Times New Roman" w:hAnsi="Times New Roman"/>
          <w:sz w:val="22"/>
          <w:szCs w:val="22"/>
          <w:color w:val="auto"/>
        </w:rPr>
        <w:t>” means any and all Patents Controlled by IMSCP, as of the Effective Date or at any time during the Term, that is necessary to perform the Transfer Plan. For clarity, IMSCP Patents includes IMSCP’s rights in the Joint Collaboration Patents and Joint Existing Patents.</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1.67</w:t>
      </w:r>
      <w:r>
        <w:rPr>
          <w:rFonts w:ascii="Times New Roman" w:cs="Times New Roman" w:eastAsia="Times New Roman" w:hAnsi="Times New Roman"/>
          <w:sz w:val="22"/>
          <w:szCs w:val="22"/>
          <w:b w:val="1"/>
          <w:bCs w:val="1"/>
          <w:color w:val="auto"/>
        </w:rPr>
        <w:t>“IMSCP Potential Product Molecule”</w:t>
      </w:r>
      <w:r>
        <w:rPr>
          <w:rFonts w:ascii="Times New Roman" w:cs="Times New Roman" w:eastAsia="Times New Roman" w:hAnsi="Times New Roman"/>
          <w:sz w:val="22"/>
          <w:szCs w:val="22"/>
          <w:color w:val="auto"/>
        </w:rPr>
        <w:t xml:space="preserve"> means any CUE-100 Series Subject Molecule with respect to which IMSCP, its Affiliates, or its Sublicensees engage in any Research or Development during the Research Period.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1.68“</w:t>
      </w:r>
      <w:r>
        <w:rPr>
          <w:rFonts w:ascii="Times New Roman" w:cs="Times New Roman" w:eastAsia="Times New Roman" w:hAnsi="Times New Roman"/>
          <w:sz w:val="22"/>
          <w:szCs w:val="22"/>
          <w:b w:val="1"/>
          <w:bCs w:val="1"/>
          <w:color w:val="auto"/>
        </w:rPr>
        <w:t>IMSCP Commercial License</w:t>
      </w:r>
      <w:r>
        <w:rPr>
          <w:rFonts w:ascii="Times New Roman" w:cs="Times New Roman" w:eastAsia="Times New Roman" w:hAnsi="Times New Roman"/>
          <w:sz w:val="22"/>
          <w:szCs w:val="22"/>
          <w:color w:val="auto"/>
        </w:rPr>
        <w:t>” has the meaning set forth in Section 3.2.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1.69“</w:t>
      </w:r>
      <w:r>
        <w:rPr>
          <w:rFonts w:ascii="Times New Roman" w:cs="Times New Roman" w:eastAsia="Times New Roman" w:hAnsi="Times New Roman"/>
          <w:sz w:val="22"/>
          <w:szCs w:val="22"/>
          <w:b w:val="1"/>
          <w:bCs w:val="1"/>
          <w:color w:val="auto"/>
        </w:rPr>
        <w:t>IMSCP Research License</w:t>
      </w:r>
      <w:r>
        <w:rPr>
          <w:rFonts w:ascii="Times New Roman" w:cs="Times New Roman" w:eastAsia="Times New Roman" w:hAnsi="Times New Roman"/>
          <w:sz w:val="22"/>
          <w:szCs w:val="22"/>
          <w:color w:val="auto"/>
        </w:rPr>
        <w:t>” has the meaning set forth in Section 3.1.</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1.70“</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an application filed with a Regulatory Authority for authorization to commence human clinical trials, including: (a) an Investigational New Drug Application as defined in the FDCA or any successor application or procedure filed with the FDA, (b) any equivalent of a United States IND in other countries or regulatory jurisdictions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Clinical Trial Application (CTA)), and (c) all supplements, amendments, variations, extensions and renewals thereof that may be filed with respect to the foregoing.</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1.71“</w:t>
      </w:r>
      <w:r>
        <w:rPr>
          <w:rFonts w:ascii="Times New Roman" w:cs="Times New Roman" w:eastAsia="Times New Roman" w:hAnsi="Times New Roman"/>
          <w:sz w:val="22"/>
          <w:szCs w:val="22"/>
          <w:b w:val="1"/>
          <w:bCs w:val="1"/>
          <w:color w:val="auto"/>
        </w:rPr>
        <w:t>IND Enabling Studies</w:t>
      </w:r>
      <w:r>
        <w:rPr>
          <w:rFonts w:ascii="Times New Roman" w:cs="Times New Roman" w:eastAsia="Times New Roman" w:hAnsi="Times New Roman"/>
          <w:sz w:val="22"/>
          <w:szCs w:val="22"/>
          <w:color w:val="auto"/>
        </w:rPr>
        <w:t>” means pre-clinical studies on a CUE-100 Series Subject Molecule, conducted under GLP, the protocol and results of which are intended to be used to support an IND, including, but not limited to PK/ADME studies, potency studies, pharmacodynamics, safety, toxicology, pharmacology, preformulation, and formulation development. In no event will IND Enabling Studies for a given CUE-100 Series Subject Molecule be deemed to have commenced prior to the release of the master cell bank or initiation of an engineering batch with respect to such CUE-100 Series Subject Molecule.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1.72“</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 has the meaning set forth in Section 11.3.</w:t>
      </w:r>
    </w:p>
    <w:p>
      <w:pPr>
        <w:spacing w:after="0" w:line="21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Exhibit 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96" w:name="page197"/>
    <w:bookmarkEnd w:id="196"/>
    <w:p>
      <w:pPr>
        <w:ind w:left="760"/>
        <w:spacing w:after="0"/>
        <w:rPr>
          <w:sz w:val="20"/>
          <w:szCs w:val="20"/>
          <w:color w:val="auto"/>
        </w:rPr>
      </w:pPr>
      <w:r>
        <w:rPr>
          <w:rFonts w:ascii="Times New Roman" w:cs="Times New Roman" w:eastAsia="Times New Roman" w:hAnsi="Times New Roman"/>
          <w:sz w:val="22"/>
          <w:szCs w:val="22"/>
          <w:color w:val="auto"/>
        </w:rPr>
        <w:t>1.73“</w:t>
      </w:r>
      <w:r>
        <w:rPr>
          <w:rFonts w:ascii="Times New Roman" w:cs="Times New Roman" w:eastAsia="Times New Roman" w:hAnsi="Times New Roman"/>
          <w:sz w:val="22"/>
          <w:szCs w:val="22"/>
          <w:b w:val="1"/>
          <w:bCs w:val="1"/>
          <w:color w:val="auto"/>
        </w:rPr>
        <w:t>Indemnitor</w:t>
      </w:r>
      <w:r>
        <w:rPr>
          <w:rFonts w:ascii="Times New Roman" w:cs="Times New Roman" w:eastAsia="Times New Roman" w:hAnsi="Times New Roman"/>
          <w:sz w:val="22"/>
          <w:szCs w:val="22"/>
          <w:color w:val="auto"/>
        </w:rPr>
        <w:t>” has the meaning set forth in Section 11.3.</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1.74“</w:t>
      </w:r>
      <w:r>
        <w:rPr>
          <w:rFonts w:ascii="Times New Roman" w:cs="Times New Roman" w:eastAsia="Times New Roman" w:hAnsi="Times New Roman"/>
          <w:sz w:val="22"/>
          <w:szCs w:val="22"/>
          <w:b w:val="1"/>
          <w:bCs w:val="1"/>
          <w:color w:val="auto"/>
        </w:rPr>
        <w:t>Indication</w:t>
      </w:r>
      <w:r>
        <w:rPr>
          <w:rFonts w:ascii="Times New Roman" w:cs="Times New Roman" w:eastAsia="Times New Roman" w:hAnsi="Times New Roman"/>
          <w:sz w:val="22"/>
          <w:szCs w:val="22"/>
          <w:color w:val="auto"/>
        </w:rPr>
        <w:t>” means a disease or condition, for a defined class of human patients, that is, or that could reasonably be expected to be, specified in a Regulatory Approval.</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1.75“</w:t>
      </w:r>
      <w:r>
        <w:rPr>
          <w:rFonts w:ascii="Times New Roman" w:cs="Times New Roman" w:eastAsia="Times New Roman" w:hAnsi="Times New Roman"/>
          <w:sz w:val="22"/>
          <w:szCs w:val="22"/>
          <w:b w:val="1"/>
          <w:bCs w:val="1"/>
          <w:color w:val="auto"/>
        </w:rPr>
        <w:t>Invented</w:t>
      </w:r>
      <w:r>
        <w:rPr>
          <w:rFonts w:ascii="Times New Roman" w:cs="Times New Roman" w:eastAsia="Times New Roman" w:hAnsi="Times New Roman"/>
          <w:sz w:val="22"/>
          <w:szCs w:val="22"/>
          <w:color w:val="auto"/>
        </w:rPr>
        <w:t>” means: (a) with respect to patentable inventions, “invented” as determined in accordance with U.S. patent law, (b) with respect to copyrightable works, “authored” as determined in accordance with U.S. copyright law, or (c) with respect to all other Know-How, generated, developed, created or otherwise made.</w:t>
      </w:r>
    </w:p>
    <w:p>
      <w:pPr>
        <w:spacing w:after="0" w:line="167"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color w:val="auto"/>
        </w:rPr>
        <w:t>1.76“</w:t>
      </w:r>
      <w:r>
        <w:rPr>
          <w:rFonts w:ascii="Times New Roman" w:cs="Times New Roman" w:eastAsia="Times New Roman" w:hAnsi="Times New Roman"/>
          <w:sz w:val="22"/>
          <w:szCs w:val="22"/>
          <w:b w:val="1"/>
          <w:bCs w:val="1"/>
          <w:color w:val="auto"/>
        </w:rPr>
        <w:t>IPO</w:t>
      </w:r>
      <w:r>
        <w:rPr>
          <w:rFonts w:ascii="Times New Roman" w:cs="Times New Roman" w:eastAsia="Times New Roman" w:hAnsi="Times New Roman"/>
          <w:sz w:val="22"/>
          <w:szCs w:val="22"/>
          <w:color w:val="auto"/>
        </w:rPr>
        <w:t>” means the effectiveness of a registration statement for the first sale of IMSCP’s ordinary shares (or other capital stock) in a firm commitment underwritten public offering registered under the Securities Act of 1933, as amended, or any other similar offering to the public of securities.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1.77</w:t>
      </w:r>
      <w:r>
        <w:rPr>
          <w:rFonts w:ascii="Times New Roman" w:cs="Times New Roman" w:eastAsia="Times New Roman" w:hAnsi="Times New Roman"/>
          <w:sz w:val="22"/>
          <w:szCs w:val="22"/>
          <w:b w:val="1"/>
          <w:bCs w:val="1"/>
          <w:color w:val="auto"/>
        </w:rPr>
        <w:t>“Joint Collaboration IP”</w:t>
      </w:r>
      <w:r>
        <w:rPr>
          <w:rFonts w:ascii="Times New Roman" w:cs="Times New Roman" w:eastAsia="Times New Roman" w:hAnsi="Times New Roman"/>
          <w:sz w:val="22"/>
          <w:szCs w:val="22"/>
          <w:color w:val="auto"/>
        </w:rPr>
        <w:t xml:space="preserve"> means Joint Collaboration Know-How and Joint Collaboration Patents.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1.78“</w:t>
      </w:r>
      <w:r>
        <w:rPr>
          <w:rFonts w:ascii="Times New Roman" w:cs="Times New Roman" w:eastAsia="Times New Roman" w:hAnsi="Times New Roman"/>
          <w:sz w:val="22"/>
          <w:szCs w:val="22"/>
          <w:b w:val="1"/>
          <w:bCs w:val="1"/>
          <w:color w:val="auto"/>
        </w:rPr>
        <w:t>Joint Collaboration Know-How</w:t>
      </w:r>
      <w:r>
        <w:rPr>
          <w:rFonts w:ascii="Times New Roman" w:cs="Times New Roman" w:eastAsia="Times New Roman" w:hAnsi="Times New Roman"/>
          <w:sz w:val="22"/>
          <w:szCs w:val="22"/>
          <w:color w:val="auto"/>
        </w:rPr>
        <w:t>” means any and all Know-How that is first Invented jointly by or on behalf of Cue or its Affiliates, on the one hand, and IMSCP or its Affiliates, on the other hand, in performing activities under this Agreement.</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1.79“</w:t>
      </w:r>
      <w:r>
        <w:rPr>
          <w:rFonts w:ascii="Times New Roman" w:cs="Times New Roman" w:eastAsia="Times New Roman" w:hAnsi="Times New Roman"/>
          <w:sz w:val="22"/>
          <w:szCs w:val="22"/>
          <w:b w:val="1"/>
          <w:bCs w:val="1"/>
          <w:color w:val="auto"/>
        </w:rPr>
        <w:t>Joint Collaboration Patents</w:t>
      </w:r>
      <w:r>
        <w:rPr>
          <w:rFonts w:ascii="Times New Roman" w:cs="Times New Roman" w:eastAsia="Times New Roman" w:hAnsi="Times New Roman"/>
          <w:sz w:val="22"/>
          <w:szCs w:val="22"/>
          <w:color w:val="auto"/>
        </w:rPr>
        <w:t>” means any and all Patents that are first Invented jointly by or on behalf of Cue or its Affiliates, on the one hand, and IMSCP or its Affiliates, on the other hand, in performing activities under this Agreement.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1.80“</w:t>
      </w:r>
      <w:r>
        <w:rPr>
          <w:rFonts w:ascii="Times New Roman" w:cs="Times New Roman" w:eastAsia="Times New Roman" w:hAnsi="Times New Roman"/>
          <w:sz w:val="22"/>
          <w:szCs w:val="22"/>
          <w:b w:val="1"/>
          <w:bCs w:val="1"/>
          <w:color w:val="auto"/>
        </w:rPr>
        <w:t>Joint Existing IP</w:t>
      </w:r>
      <w:r>
        <w:rPr>
          <w:rFonts w:ascii="Times New Roman" w:cs="Times New Roman" w:eastAsia="Times New Roman" w:hAnsi="Times New Roman"/>
          <w:sz w:val="22"/>
          <w:szCs w:val="22"/>
          <w:color w:val="auto"/>
        </w:rPr>
        <w:t>” means Joint Existing Know-How and Joint Existing Patents.</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1.81“</w:t>
      </w:r>
      <w:r>
        <w:rPr>
          <w:rFonts w:ascii="Times New Roman" w:cs="Times New Roman" w:eastAsia="Times New Roman" w:hAnsi="Times New Roman"/>
          <w:sz w:val="22"/>
          <w:szCs w:val="22"/>
          <w:b w:val="1"/>
          <w:bCs w:val="1"/>
          <w:color w:val="auto"/>
        </w:rPr>
        <w:t>Joint Existing Know-How</w:t>
      </w:r>
      <w:r>
        <w:rPr>
          <w:rFonts w:ascii="Times New Roman" w:cs="Times New Roman" w:eastAsia="Times New Roman" w:hAnsi="Times New Roman"/>
          <w:sz w:val="22"/>
          <w:szCs w:val="22"/>
          <w:color w:val="auto"/>
        </w:rPr>
        <w:t>” means any and all Know-How that as of the Effective Date was first Invented jointly by or on behalf of Cue or its Affiliates, on the one hand, and IMSCP or its Affiliates, on the other hand, including such jointly owned Know-How generated under (a) that certain Material Transfer Agreement between the Parties dated September 14, 2023 (as amended); (b) that certain Material Transfer Agreement between the Parties dated December 14, 2023; (c) that certain Research Collaboration Agreement between the Parties dated January 17, 2024; and (d) that certain Material Transfer Agreement between the Parties dated March 18, 2024.</w:t>
      </w:r>
    </w:p>
    <w:p>
      <w:pPr>
        <w:spacing w:after="0" w:line="17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1.82“</w:t>
      </w:r>
      <w:r>
        <w:rPr>
          <w:rFonts w:ascii="Times New Roman" w:cs="Times New Roman" w:eastAsia="Times New Roman" w:hAnsi="Times New Roman"/>
          <w:sz w:val="21"/>
          <w:szCs w:val="21"/>
          <w:b w:val="1"/>
          <w:bCs w:val="1"/>
          <w:color w:val="auto"/>
        </w:rPr>
        <w:t>Joint Existing Patents</w:t>
      </w:r>
      <w:r>
        <w:rPr>
          <w:rFonts w:ascii="Times New Roman" w:cs="Times New Roman" w:eastAsia="Times New Roman" w:hAnsi="Times New Roman"/>
          <w:sz w:val="21"/>
          <w:szCs w:val="21"/>
          <w:color w:val="auto"/>
        </w:rPr>
        <w:t>” means any and all Patents to the extent claiming Joint Existing Know-How, including but not limited to (i) [**], and (ii) [**], and (iii) all patent applications claiming priority to either or both of the foregoing applications</w:t>
      </w:r>
    </w:p>
    <w:p>
      <w:pPr>
        <w:spacing w:after="0" w:line="1" w:lineRule="exact"/>
        <w:rPr>
          <w:sz w:val="20"/>
          <w:szCs w:val="20"/>
          <w:color w:val="auto"/>
        </w:rPr>
      </w:pPr>
    </w:p>
    <w:p>
      <w:pPr>
        <w:jc w:val="both"/>
        <w:ind w:firstLine="8"/>
        <w:spacing w:after="0" w:line="234" w:lineRule="auto"/>
        <w:tabs>
          <w:tab w:leader="none" w:pos="27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 hereafter filed, and any patent claiming priority to either or both of the foregoing applications (i) and (ii) hereafter issued, and any reissue, reexamination, renewal or extension (including any supplemental patent certificate) of any such patent, and any confirmation patent or registration patent or patent of addition based on any such patent, and all foreign counterparts of any of the foregoing.</w:t>
      </w:r>
    </w:p>
    <w:p>
      <w:pPr>
        <w:spacing w:after="0" w:line="173" w:lineRule="exact"/>
        <w:rPr>
          <w:sz w:val="20"/>
          <w:szCs w:val="20"/>
          <w:color w:val="auto"/>
        </w:rPr>
      </w:pPr>
    </w:p>
    <w:p>
      <w:pPr>
        <w:jc w:val="center"/>
        <w:ind w:right="420"/>
        <w:spacing w:after="0" w:line="467" w:lineRule="auto"/>
        <w:rPr>
          <w:sz w:val="20"/>
          <w:szCs w:val="20"/>
          <w:color w:val="auto"/>
        </w:rPr>
      </w:pPr>
      <w:r>
        <w:rPr>
          <w:rFonts w:ascii="Times New Roman" w:cs="Times New Roman" w:eastAsia="Times New Roman" w:hAnsi="Times New Roman"/>
          <w:sz w:val="22"/>
          <w:szCs w:val="22"/>
          <w:color w:val="auto"/>
        </w:rPr>
        <w:t>1.83“</w:t>
      </w:r>
      <w:r>
        <w:rPr>
          <w:rFonts w:ascii="Times New Roman" w:cs="Times New Roman" w:eastAsia="Times New Roman" w:hAnsi="Times New Roman"/>
          <w:sz w:val="22"/>
          <w:szCs w:val="22"/>
          <w:b w:val="1"/>
          <w:bCs w:val="1"/>
          <w:color w:val="auto"/>
        </w:rPr>
        <w:t>Joint IMSCP/Cue Patents</w:t>
      </w:r>
      <w:r>
        <w:rPr>
          <w:rFonts w:ascii="Times New Roman" w:cs="Times New Roman" w:eastAsia="Times New Roman" w:hAnsi="Times New Roman"/>
          <w:sz w:val="22"/>
          <w:szCs w:val="22"/>
          <w:color w:val="auto"/>
        </w:rPr>
        <w:t>” means any and all Joint Collaboration Patents and Joint Existing Patents. Exhibit 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97" w:name="page198"/>
    <w:bookmarkEnd w:id="197"/>
    <w:p>
      <w:pPr>
        <w:ind w:left="760"/>
        <w:spacing w:after="0"/>
        <w:rPr>
          <w:sz w:val="20"/>
          <w:szCs w:val="20"/>
          <w:color w:val="auto"/>
        </w:rPr>
      </w:pPr>
      <w:r>
        <w:rPr>
          <w:rFonts w:ascii="Times New Roman" w:cs="Times New Roman" w:eastAsia="Times New Roman" w:hAnsi="Times New Roman"/>
          <w:sz w:val="22"/>
          <w:szCs w:val="22"/>
          <w:color w:val="auto"/>
        </w:rPr>
        <w:t>1.84“</w:t>
      </w:r>
      <w:r>
        <w:rPr>
          <w:rFonts w:ascii="Times New Roman" w:cs="Times New Roman" w:eastAsia="Times New Roman" w:hAnsi="Times New Roman"/>
          <w:sz w:val="22"/>
          <w:szCs w:val="22"/>
          <w:b w:val="1"/>
          <w:bCs w:val="1"/>
          <w:color w:val="auto"/>
        </w:rPr>
        <w:t>JIC</w:t>
      </w:r>
      <w:r>
        <w:rPr>
          <w:rFonts w:ascii="Times New Roman" w:cs="Times New Roman" w:eastAsia="Times New Roman" w:hAnsi="Times New Roman"/>
          <w:sz w:val="22"/>
          <w:szCs w:val="22"/>
          <w:color w:val="auto"/>
        </w:rPr>
        <w:t>” has the meaning set forth in Section 5.3.1.</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1.85“</w:t>
      </w:r>
      <w:r>
        <w:rPr>
          <w:rFonts w:ascii="Times New Roman" w:cs="Times New Roman" w:eastAsia="Times New Roman" w:hAnsi="Times New Roman"/>
          <w:sz w:val="22"/>
          <w:szCs w:val="22"/>
          <w:b w:val="1"/>
          <w:bCs w:val="1"/>
          <w:color w:val="auto"/>
        </w:rPr>
        <w:t>Know-How</w:t>
      </w:r>
      <w:r>
        <w:rPr>
          <w:rFonts w:ascii="Times New Roman" w:cs="Times New Roman" w:eastAsia="Times New Roman" w:hAnsi="Times New Roman"/>
          <w:sz w:val="22"/>
          <w:szCs w:val="22"/>
          <w:color w:val="auto"/>
        </w:rPr>
        <w:t>” means information and materials, whether patentable or not, including ideas, concepts, formulas, methods, procedures, designs, compositions, plans, documents, data, results, inventions, discoveries, works of authorship, compounds and tangible materials, in each case to the extent not generally known or available to the public. For clarity, Know-How excludes Patents.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1.86</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19"/>
          <w:szCs w:val="19"/>
          <w:b w:val="1"/>
          <w:bCs w:val="1"/>
          <w:color w:val="auto"/>
        </w:rPr>
        <w:t>[**].</w:t>
      </w:r>
    </w:p>
    <w:p>
      <w:pPr>
        <w:spacing w:after="0" w:line="206"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 xml:space="preserve">1.87“[**]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means that certain Collaboration, License and Option Agreement between [**] and Cue, dated [**], as amended.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1.88“[**] </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1.89“</w:t>
      </w:r>
      <w:r>
        <w:rPr>
          <w:rFonts w:ascii="Times New Roman" w:cs="Times New Roman" w:eastAsia="Times New Roman" w:hAnsi="Times New Roman"/>
          <w:sz w:val="22"/>
          <w:szCs w:val="22"/>
          <w:b w:val="1"/>
          <w:bCs w:val="1"/>
          <w:color w:val="auto"/>
        </w:rPr>
        <w:t>Liabilities</w:t>
      </w:r>
      <w:r>
        <w:rPr>
          <w:rFonts w:ascii="Times New Roman" w:cs="Times New Roman" w:eastAsia="Times New Roman" w:hAnsi="Times New Roman"/>
          <w:sz w:val="22"/>
          <w:szCs w:val="22"/>
          <w:color w:val="auto"/>
        </w:rPr>
        <w:t>” has the meaning set forth in Section 11.1.</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1.90“</w:t>
      </w:r>
      <w:r>
        <w:rPr>
          <w:rFonts w:ascii="Times New Roman" w:cs="Times New Roman" w:eastAsia="Times New Roman" w:hAnsi="Times New Roman"/>
          <w:sz w:val="22"/>
          <w:szCs w:val="22"/>
          <w:b w:val="1"/>
          <w:bCs w:val="1"/>
          <w:color w:val="auto"/>
        </w:rPr>
        <w:t>Licensed Molecule</w:t>
      </w:r>
      <w:r>
        <w:rPr>
          <w:rFonts w:ascii="Times New Roman" w:cs="Times New Roman" w:eastAsia="Times New Roman" w:hAnsi="Times New Roman"/>
          <w:sz w:val="22"/>
          <w:szCs w:val="22"/>
          <w:color w:val="auto"/>
        </w:rPr>
        <w:t>” means each CUE-100 Series Subject Molecule for which IMSCP, its Affiliates or Sublicensees has commenced [**].</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1.91“</w:t>
      </w:r>
      <w:r>
        <w:rPr>
          <w:rFonts w:ascii="Times New Roman" w:cs="Times New Roman" w:eastAsia="Times New Roman" w:hAnsi="Times New Roman"/>
          <w:sz w:val="22"/>
          <w:szCs w:val="22"/>
          <w:b w:val="1"/>
          <w:bCs w:val="1"/>
          <w:color w:val="auto"/>
        </w:rPr>
        <w:t>Licensed Product</w:t>
      </w:r>
      <w:r>
        <w:rPr>
          <w:rFonts w:ascii="Times New Roman" w:cs="Times New Roman" w:eastAsia="Times New Roman" w:hAnsi="Times New Roman"/>
          <w:sz w:val="22"/>
          <w:szCs w:val="22"/>
          <w:color w:val="auto"/>
        </w:rPr>
        <w:t>” means any product containing a Licensed Molecule as an active ingredient, in any formulation, combination or method of delivery. Licensed Product shall include Combination Products having one or more Other Active Ingredients, except that such Other Active Ingredients are excluded from the definition of Licensed Product for the purposes of any licenses or conveyances of property rights hereunder.</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1.92“</w:t>
      </w:r>
      <w:r>
        <w:rPr>
          <w:rFonts w:ascii="Times New Roman" w:cs="Times New Roman" w:eastAsia="Times New Roman" w:hAnsi="Times New Roman"/>
          <w:sz w:val="22"/>
          <w:szCs w:val="22"/>
          <w:b w:val="1"/>
          <w:bCs w:val="1"/>
          <w:color w:val="auto"/>
        </w:rPr>
        <w:t>Licensed Product Technology</w:t>
      </w:r>
      <w:r>
        <w:rPr>
          <w:rFonts w:ascii="Times New Roman" w:cs="Times New Roman" w:eastAsia="Times New Roman" w:hAnsi="Times New Roman"/>
          <w:sz w:val="22"/>
          <w:szCs w:val="22"/>
          <w:color w:val="auto"/>
        </w:rPr>
        <w:t>” means the Licensed Product Know-How, Licensed Product Patents, and Cue’s rights in or to any and all Joint Existing IP and Joint Collaboration IP.</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1.93“</w:t>
      </w:r>
      <w:r>
        <w:rPr>
          <w:rFonts w:ascii="Times New Roman" w:cs="Times New Roman" w:eastAsia="Times New Roman" w:hAnsi="Times New Roman"/>
          <w:sz w:val="22"/>
          <w:szCs w:val="22"/>
          <w:b w:val="1"/>
          <w:bCs w:val="1"/>
          <w:color w:val="auto"/>
        </w:rPr>
        <w:t>MAA</w:t>
      </w:r>
      <w:r>
        <w:rPr>
          <w:rFonts w:ascii="Times New Roman" w:cs="Times New Roman" w:eastAsia="Times New Roman" w:hAnsi="Times New Roman"/>
          <w:sz w:val="22"/>
          <w:szCs w:val="22"/>
          <w:color w:val="auto"/>
        </w:rPr>
        <w:t>” means a New Drug Application (or its equivalent), as defined in the FDCA, submitted to the FDA in the United States or a corresponding or similar application which has been submitted to a Regulatory Authority in any jurisdiction outside the United States, including to: (a) the EMA under the centralized filing procedure in the EU or (b) a Regulatory Authority in any EU country if the centralized EMA filing procedure is not used to gain Regulatory Approval in such country.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1.94“</w:t>
      </w:r>
      <w:r>
        <w:rPr>
          <w:rFonts w:ascii="Times New Roman" w:cs="Times New Roman" w:eastAsia="Times New Roman" w:hAnsi="Times New Roman"/>
          <w:sz w:val="22"/>
          <w:szCs w:val="22"/>
          <w:b w:val="1"/>
          <w:bCs w:val="1"/>
          <w:color w:val="auto"/>
        </w:rPr>
        <w:t>Major Markets</w:t>
      </w:r>
      <w:r>
        <w:rPr>
          <w:rFonts w:ascii="Times New Roman" w:cs="Times New Roman" w:eastAsia="Times New Roman" w:hAnsi="Times New Roman"/>
          <w:sz w:val="22"/>
          <w:szCs w:val="22"/>
          <w:color w:val="auto"/>
        </w:rPr>
        <w:t>” means any and all of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1.95“</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has the meaning set forth in Section 9.6.</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1.96“</w:t>
      </w:r>
      <w:r>
        <w:rPr>
          <w:rFonts w:ascii="Times New Roman" w:cs="Times New Roman" w:eastAsia="Times New Roman" w:hAnsi="Times New Roman"/>
          <w:sz w:val="22"/>
          <w:szCs w:val="22"/>
          <w:b w:val="1"/>
          <w:bCs w:val="1"/>
          <w:color w:val="auto"/>
        </w:rPr>
        <w:t>MHRA</w:t>
      </w:r>
      <w:r>
        <w:rPr>
          <w:rFonts w:ascii="Times New Roman" w:cs="Times New Roman" w:eastAsia="Times New Roman" w:hAnsi="Times New Roman"/>
          <w:sz w:val="22"/>
          <w:szCs w:val="22"/>
          <w:color w:val="auto"/>
        </w:rPr>
        <w:t>” means the United Kingdom Medicines and Healthcare Products Regulatory Agency, or any successor agency or authority.</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1.97“</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the [**].</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1.98“</w:t>
      </w:r>
      <w:r>
        <w:rPr>
          <w:rFonts w:ascii="Times New Roman" w:cs="Times New Roman" w:eastAsia="Times New Roman" w:hAnsi="Times New Roman"/>
          <w:sz w:val="22"/>
          <w:szCs w:val="22"/>
          <w:b w:val="1"/>
          <w:bCs w:val="1"/>
          <w:color w:val="auto"/>
        </w:rPr>
        <w:t>Non-Royalty Sublicense Fees</w:t>
      </w:r>
      <w:r>
        <w:rPr>
          <w:rFonts w:ascii="Times New Roman" w:cs="Times New Roman" w:eastAsia="Times New Roman" w:hAnsi="Times New Roman"/>
          <w:sz w:val="22"/>
          <w:szCs w:val="22"/>
          <w:color w:val="auto"/>
        </w:rPr>
        <w:t>” means any and all consideration paid to IMSCP or its Affiliates by a Sublicensee, including license fees, upfront payments, and milestone payments.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1"/>
          <w:szCs w:val="21"/>
          <w:color w:val="auto"/>
        </w:rPr>
        <w:t>For the avoidance of doubt, Non-Royalty Sublicense Fees shall exclude (a) any royalties payable on sales of Licensed Products,</w:t>
      </w:r>
    </w:p>
    <w:p>
      <w:pPr>
        <w:spacing w:after="0" w:line="26" w:lineRule="exact"/>
        <w:rPr>
          <w:sz w:val="20"/>
          <w:szCs w:val="20"/>
          <w:color w:val="auto"/>
        </w:rPr>
      </w:pPr>
    </w:p>
    <w:p>
      <w:pPr>
        <w:jc w:val="both"/>
        <w:ind w:firstLine="8"/>
        <w:spacing w:after="0" w:line="234" w:lineRule="auto"/>
        <w:tabs>
          <w:tab w:leader="none" w:pos="30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issuance of equity interests in IMSCP or its Affiliates to the extent such equity is issued at or below fair market value, (c) any bona fide, arm’s length fee or other consideration paid for the reimbursement of costs incurred by IMSCP or its Affiliates in the performance of prospective services for or on behalf of a Sublicensee, and (d) amounts paid for supplies of Licensed Product or other materials at cost.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1.99“</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has the meaning set forth in Section 10.2.1.</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1.100“</w:t>
      </w:r>
      <w:r>
        <w:rPr>
          <w:rFonts w:ascii="Times New Roman" w:cs="Times New Roman" w:eastAsia="Times New Roman" w:hAnsi="Times New Roman"/>
          <w:sz w:val="22"/>
          <w:szCs w:val="22"/>
          <w:b w:val="1"/>
          <w:bCs w:val="1"/>
          <w:color w:val="auto"/>
        </w:rPr>
        <w:t>Other Active Ingredient</w:t>
      </w:r>
      <w:r>
        <w:rPr>
          <w:rFonts w:ascii="Times New Roman" w:cs="Times New Roman" w:eastAsia="Times New Roman" w:hAnsi="Times New Roman"/>
          <w:sz w:val="22"/>
          <w:szCs w:val="22"/>
          <w:color w:val="auto"/>
        </w:rPr>
        <w:t>” means one or more ingredients (other than Licensed Molecules) that are pharmaceutically active ingredients.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1.101“</w:t>
      </w:r>
      <w:r>
        <w:rPr>
          <w:rFonts w:ascii="Times New Roman" w:cs="Times New Roman" w:eastAsia="Times New Roman" w:hAnsi="Times New Roman"/>
          <w:sz w:val="22"/>
          <w:szCs w:val="22"/>
          <w:b w:val="1"/>
          <w:bCs w:val="1"/>
          <w:color w:val="auto"/>
        </w:rPr>
        <w:t>Patent Challenge</w:t>
      </w:r>
      <w:r>
        <w:rPr>
          <w:rFonts w:ascii="Times New Roman" w:cs="Times New Roman" w:eastAsia="Times New Roman" w:hAnsi="Times New Roman"/>
          <w:sz w:val="22"/>
          <w:szCs w:val="22"/>
          <w:color w:val="auto"/>
        </w:rPr>
        <w:t>” has the meaning set forth in Section 7.3.6.</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1.102“</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all existing patents and patent applications and all patent applications hereafter filed, including any continuations, continuations-in-part, divisions, provisionals or any substitute applications, any patent issued with respect to any such patent applications, any reissue, reexamination, renewal or extension (including any supplemental patent certificate) of any such patent, and any confirmation patent or registration patent or patent of addition based on any such patent, and all foreign counterparts of any of the foregoing.</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1.103“</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1.104“</w:t>
      </w:r>
      <w:r>
        <w:rPr>
          <w:rFonts w:ascii="Times New Roman" w:cs="Times New Roman" w:eastAsia="Times New Roman" w:hAnsi="Times New Roman"/>
          <w:sz w:val="22"/>
          <w:szCs w:val="22"/>
          <w:b w:val="1"/>
          <w:bCs w:val="1"/>
          <w:color w:val="auto"/>
        </w:rPr>
        <w:t>Pricing and Reimbursement Approval</w:t>
      </w:r>
      <w:r>
        <w:rPr>
          <w:rFonts w:ascii="Times New Roman" w:cs="Times New Roman" w:eastAsia="Times New Roman" w:hAnsi="Times New Roman"/>
          <w:sz w:val="22"/>
          <w:szCs w:val="22"/>
          <w:color w:val="auto"/>
        </w:rPr>
        <w:t>” means, with respect to any country or jurisdiction in the Territory in which Governmental Authorities determine the pricing at which a Licensed Product will be reimbursed, the approval, agreement, determination or decision by the applicable Governmental Authorities establishing the pricing and reimbursement status for such Licensed Product.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1.105“</w:t>
      </w:r>
      <w:r>
        <w:rPr>
          <w:rFonts w:ascii="Times New Roman" w:cs="Times New Roman" w:eastAsia="Times New Roman" w:hAnsi="Times New Roman"/>
          <w:sz w:val="22"/>
          <w:szCs w:val="22"/>
          <w:b w:val="1"/>
          <w:bCs w:val="1"/>
          <w:color w:val="auto"/>
        </w:rPr>
        <w:t>Prior CDA</w:t>
      </w:r>
      <w:r>
        <w:rPr>
          <w:rFonts w:ascii="Times New Roman" w:cs="Times New Roman" w:eastAsia="Times New Roman" w:hAnsi="Times New Roman"/>
          <w:sz w:val="22"/>
          <w:szCs w:val="22"/>
          <w:color w:val="auto"/>
        </w:rPr>
        <w:t>” means that certain Mutual Confidentiality Agreement between IMSCP and Cue dated [**].</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1.106“</w:t>
      </w:r>
      <w:r>
        <w:rPr>
          <w:rFonts w:ascii="Times New Roman" w:cs="Times New Roman" w:eastAsia="Times New Roman" w:hAnsi="Times New Roman"/>
          <w:sz w:val="22"/>
          <w:szCs w:val="22"/>
          <w:b w:val="1"/>
          <w:bCs w:val="1"/>
          <w:color w:val="auto"/>
        </w:rPr>
        <w:t>Prior MTAs</w:t>
      </w:r>
      <w:r>
        <w:rPr>
          <w:rFonts w:ascii="Times New Roman" w:cs="Times New Roman" w:eastAsia="Times New Roman" w:hAnsi="Times New Roman"/>
          <w:sz w:val="22"/>
          <w:szCs w:val="22"/>
          <w:color w:val="auto"/>
        </w:rPr>
        <w:t>” means that certain Material Transfer Agreement between IMSCP and Cue dated [**], as amended [**], that certain Material Transfer Agreement between IMSCP and Cue dated [**], and that certain Material Transfer Agreement between IMSCP and Cue dated [**].</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1.107“</w:t>
      </w:r>
      <w:r>
        <w:rPr>
          <w:rFonts w:ascii="Times New Roman" w:cs="Times New Roman" w:eastAsia="Times New Roman" w:hAnsi="Times New Roman"/>
          <w:sz w:val="22"/>
          <w:szCs w:val="22"/>
          <w:b w:val="1"/>
          <w:bCs w:val="1"/>
          <w:color w:val="auto"/>
        </w:rPr>
        <w:t>Product Infringement</w:t>
      </w:r>
      <w:r>
        <w:rPr>
          <w:rFonts w:ascii="Times New Roman" w:cs="Times New Roman" w:eastAsia="Times New Roman" w:hAnsi="Times New Roman"/>
          <w:sz w:val="22"/>
          <w:szCs w:val="22"/>
          <w:color w:val="auto"/>
        </w:rPr>
        <w:t>” has the meaning set forth in Section 8.3.1.</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1.108“</w:t>
      </w:r>
      <w:r>
        <w:rPr>
          <w:rFonts w:ascii="Times New Roman" w:cs="Times New Roman" w:eastAsia="Times New Roman" w:hAnsi="Times New Roman"/>
          <w:sz w:val="22"/>
          <w:szCs w:val="22"/>
          <w:b w:val="1"/>
          <w:bCs w:val="1"/>
          <w:color w:val="auto"/>
        </w:rPr>
        <w:t>Product Specific Patent</w:t>
      </w:r>
      <w:r>
        <w:rPr>
          <w:rFonts w:ascii="Times New Roman" w:cs="Times New Roman" w:eastAsia="Times New Roman" w:hAnsi="Times New Roman"/>
          <w:sz w:val="22"/>
          <w:szCs w:val="22"/>
          <w:color w:val="auto"/>
        </w:rPr>
        <w:t>” means (i) during the Research Period, [**] and (ii) upon expiration of the Research Period, [**].</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1.109“</w:t>
      </w:r>
      <w:r>
        <w:rPr>
          <w:rFonts w:ascii="Times New Roman" w:cs="Times New Roman" w:eastAsia="Times New Roman" w:hAnsi="Times New Roman"/>
          <w:sz w:val="22"/>
          <w:szCs w:val="22"/>
          <w:b w:val="1"/>
          <w:bCs w:val="1"/>
          <w:color w:val="auto"/>
        </w:rPr>
        <w:t>Publication</w:t>
      </w:r>
      <w:r>
        <w:rPr>
          <w:rFonts w:ascii="Times New Roman" w:cs="Times New Roman" w:eastAsia="Times New Roman" w:hAnsi="Times New Roman"/>
          <w:sz w:val="22"/>
          <w:szCs w:val="22"/>
          <w:color w:val="auto"/>
        </w:rPr>
        <w:t>” has the meaning set forth in Section 9.5.</w:t>
      </w:r>
    </w:p>
    <w:p>
      <w:pPr>
        <w:spacing w:after="0" w:line="21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Exhibit 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99" w:name="page200"/>
    <w:bookmarkEnd w:id="199"/>
    <w:p>
      <w:pPr>
        <w:ind w:left="760"/>
        <w:spacing w:after="0"/>
        <w:rPr>
          <w:sz w:val="20"/>
          <w:szCs w:val="20"/>
          <w:color w:val="auto"/>
        </w:rPr>
      </w:pPr>
      <w:r>
        <w:rPr>
          <w:rFonts w:ascii="Times New Roman" w:cs="Times New Roman" w:eastAsia="Times New Roman" w:hAnsi="Times New Roman"/>
          <w:sz w:val="22"/>
          <w:szCs w:val="22"/>
          <w:color w:val="auto"/>
        </w:rPr>
        <w:t>1.110“</w:t>
      </w:r>
      <w:r>
        <w:rPr>
          <w:rFonts w:ascii="Times New Roman" w:cs="Times New Roman" w:eastAsia="Times New Roman" w:hAnsi="Times New Roman"/>
          <w:sz w:val="22"/>
          <w:szCs w:val="22"/>
          <w:b w:val="1"/>
          <w:bCs w:val="1"/>
          <w:color w:val="auto"/>
        </w:rPr>
        <w:t>Qualified Biopharmaceutical Company</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1.111“</w:t>
      </w:r>
      <w:r>
        <w:rPr>
          <w:rFonts w:ascii="Times New Roman" w:cs="Times New Roman" w:eastAsia="Times New Roman" w:hAnsi="Times New Roman"/>
          <w:sz w:val="22"/>
          <w:szCs w:val="22"/>
          <w:b w:val="1"/>
          <w:bCs w:val="1"/>
          <w:color w:val="auto"/>
        </w:rPr>
        <w:t>Qualified Offering</w:t>
      </w:r>
      <w:r>
        <w:rPr>
          <w:rFonts w:ascii="Times New Roman" w:cs="Times New Roman" w:eastAsia="Times New Roman" w:hAnsi="Times New Roman"/>
          <w:sz w:val="22"/>
          <w:szCs w:val="22"/>
          <w:color w:val="auto"/>
        </w:rPr>
        <w:t>” means a transaction, or series of related transactions, in which IMSCP issues shares of its ordinary shares, preference shares, or securities convertible in each case therefor, for bona fide financing purposes in which IMSCP receives gross proceeds of not less than [**] US Dollars ($[**]). For purposes of the first Qualified Offering, [**]. Notwithstanding anything to the contrary in this Agreement, IMSCP may at any time obtain or enter into any form of non-dilutive financing, funding, grant, collaboration, or similar arrangement that does not involve the issuance of equity or equity-linked securities (“</w:t>
      </w:r>
      <w:r>
        <w:rPr>
          <w:rFonts w:ascii="Times New Roman" w:cs="Times New Roman" w:eastAsia="Times New Roman" w:hAnsi="Times New Roman"/>
          <w:sz w:val="22"/>
          <w:szCs w:val="22"/>
          <w:b w:val="1"/>
          <w:bCs w:val="1"/>
          <w:color w:val="auto"/>
        </w:rPr>
        <w:t>Non-Dilutive Funding</w:t>
      </w:r>
      <w:r>
        <w:rPr>
          <w:rFonts w:ascii="Times New Roman" w:cs="Times New Roman" w:eastAsia="Times New Roman" w:hAnsi="Times New Roman"/>
          <w:sz w:val="22"/>
          <w:szCs w:val="22"/>
          <w:color w:val="auto"/>
        </w:rPr>
        <w:t>”). Any such Non-Dilutive Funding shall not constitute or be deemed a Qualified Offering for purposes of this Agreement and shall not affect the calculation or timing of any payments, warrant issuances, or other rights or obligations hereunder.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1.112“</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has the meaning set forth in Section 9.1.</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1.113“</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with respect to a country or other jurisdiction in the Territory, all approvals, licenses, registrations, or authorizations from any Regulatory Authority necessary to market a Licensed Product in such country or other jurisdiction, including in each case, Pricing and Reimbursement Approval.</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1.114“</w:t>
      </w:r>
      <w:r>
        <w:rPr>
          <w:rFonts w:ascii="Times New Roman" w:cs="Times New Roman" w:eastAsia="Times New Roman" w:hAnsi="Times New Roman"/>
          <w:sz w:val="22"/>
          <w:szCs w:val="22"/>
          <w:b w:val="1"/>
          <w:bCs w:val="1"/>
          <w:color w:val="auto"/>
        </w:rPr>
        <w:t>Regulatory Authority</w:t>
      </w:r>
      <w:r>
        <w:rPr>
          <w:rFonts w:ascii="Times New Roman" w:cs="Times New Roman" w:eastAsia="Times New Roman" w:hAnsi="Times New Roman"/>
          <w:sz w:val="22"/>
          <w:szCs w:val="22"/>
          <w:color w:val="auto"/>
        </w:rPr>
        <w:t>” means any federal, national, multinational, state, provincial or local regulatory agency, department, bureau or other governmental entity with authority over the Development, Commercialization or other use or Exploitation (including the granting of Regulatory Approvals) of any Licensed Product in any jurisdiction.</w:t>
      </w:r>
    </w:p>
    <w:p>
      <w:pPr>
        <w:spacing w:after="0" w:line="16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1.115“</w:t>
      </w:r>
      <w:r>
        <w:rPr>
          <w:rFonts w:ascii="Times New Roman" w:cs="Times New Roman" w:eastAsia="Times New Roman" w:hAnsi="Times New Roman"/>
          <w:sz w:val="22"/>
          <w:szCs w:val="22"/>
          <w:b w:val="1"/>
          <w:bCs w:val="1"/>
          <w:color w:val="auto"/>
        </w:rPr>
        <w:t>Regulatory Exclusivity</w:t>
      </w:r>
      <w:r>
        <w:rPr>
          <w:rFonts w:ascii="Times New Roman" w:cs="Times New Roman" w:eastAsia="Times New Roman" w:hAnsi="Times New Roman"/>
          <w:sz w:val="22"/>
          <w:szCs w:val="22"/>
          <w:color w:val="auto"/>
        </w:rPr>
        <w:t>” means, with respect to any country or other jurisdiction, any exclusive marketing rights or exclusivity rights or protection with respect to a pharmaceutical product conferred by a Regulatory Authority or other Governmental Authority in such country or jurisdiction, including any regulatory protection exclusivity (such as regulatory data exclusivity), orphan drug designation or pediatric exclusivity, but excluding Patents.</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1.116“</w:t>
      </w:r>
      <w:r>
        <w:rPr>
          <w:rFonts w:ascii="Times New Roman" w:cs="Times New Roman" w:eastAsia="Times New Roman" w:hAnsi="Times New Roman"/>
          <w:sz w:val="22"/>
          <w:szCs w:val="22"/>
          <w:b w:val="1"/>
          <w:bCs w:val="1"/>
          <w:color w:val="auto"/>
        </w:rPr>
        <w:t>Regulatory Materials</w:t>
      </w:r>
      <w:r>
        <w:rPr>
          <w:rFonts w:ascii="Times New Roman" w:cs="Times New Roman" w:eastAsia="Times New Roman" w:hAnsi="Times New Roman"/>
          <w:sz w:val="22"/>
          <w:szCs w:val="22"/>
          <w:color w:val="auto"/>
        </w:rPr>
        <w:t>” means all regulatory applications, submissions, notifications, communications, correspondences, registrations, approvals and other filings submitted to, received from or otherwise conducted with a Regulatory Authority in order to Develop, manufacture, Commercialize or otherwise Exploit a Licensed Product in a particular country or jurisdiction, and all supporting data, including INDs, MAAs and other Regulatory Approvals.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1.117“</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has the meaning set forth in Section 9.1.</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1.118“</w:t>
      </w:r>
      <w:r>
        <w:rPr>
          <w:rFonts w:ascii="Times New Roman" w:cs="Times New Roman" w:eastAsia="Times New Roman" w:hAnsi="Times New Roman"/>
          <w:sz w:val="22"/>
          <w:szCs w:val="22"/>
          <w:b w:val="1"/>
          <w:bCs w:val="1"/>
          <w:color w:val="auto"/>
        </w:rPr>
        <w:t>Research</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any and all pre-clinical research activities conducted with respect to a compound or product, including the making or manufacture of such compound or product for use in such activities. Research excludes Development and Commercialization.</w:t>
      </w:r>
    </w:p>
    <w:p>
      <w:pPr>
        <w:spacing w:after="0" w:line="16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1.119“</w:t>
      </w:r>
      <w:r>
        <w:rPr>
          <w:rFonts w:ascii="Times New Roman" w:cs="Times New Roman" w:eastAsia="Times New Roman" w:hAnsi="Times New Roman"/>
          <w:sz w:val="22"/>
          <w:szCs w:val="22"/>
          <w:b w:val="1"/>
          <w:bCs w:val="1"/>
          <w:color w:val="auto"/>
        </w:rPr>
        <w:t>Research Period</w:t>
      </w:r>
      <w:r>
        <w:rPr>
          <w:rFonts w:ascii="Times New Roman" w:cs="Times New Roman" w:eastAsia="Times New Roman" w:hAnsi="Times New Roman"/>
          <w:sz w:val="22"/>
          <w:szCs w:val="22"/>
          <w:color w:val="auto"/>
        </w:rPr>
        <w:t>” means the period commencing on the Effective Date and expiring upon the later of (a) the first date that IMSCP, its Affiliates or Sublicensees ceases to [**]; and (b) the fifth (5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anniversary of the Effective Date.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00" w:name="page201"/>
    <w:bookmarkEnd w:id="200"/>
    <w:p>
      <w:pPr>
        <w:ind w:left="760"/>
        <w:spacing w:after="0"/>
        <w:rPr>
          <w:sz w:val="20"/>
          <w:szCs w:val="20"/>
          <w:color w:val="auto"/>
        </w:rPr>
      </w:pPr>
      <w:r>
        <w:rPr>
          <w:rFonts w:ascii="Times New Roman" w:cs="Times New Roman" w:eastAsia="Times New Roman" w:hAnsi="Times New Roman"/>
          <w:sz w:val="22"/>
          <w:szCs w:val="22"/>
          <w:color w:val="auto"/>
        </w:rPr>
        <w:t>1.120“</w:t>
      </w:r>
      <w:r>
        <w:rPr>
          <w:rFonts w:ascii="Times New Roman" w:cs="Times New Roman" w:eastAsia="Times New Roman" w:hAnsi="Times New Roman"/>
          <w:sz w:val="22"/>
          <w:szCs w:val="22"/>
          <w:b w:val="1"/>
          <w:bCs w:val="1"/>
          <w:color w:val="auto"/>
        </w:rPr>
        <w:t>Restricted Activities</w:t>
      </w:r>
      <w:r>
        <w:rPr>
          <w:rFonts w:ascii="Times New Roman" w:cs="Times New Roman" w:eastAsia="Times New Roman" w:hAnsi="Times New Roman"/>
          <w:sz w:val="22"/>
          <w:szCs w:val="22"/>
          <w:color w:val="auto"/>
        </w:rPr>
        <w:t>” has the meaning set forth in Section 3.4.1.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1.121“</w:t>
      </w:r>
      <w:r>
        <w:rPr>
          <w:rFonts w:ascii="Times New Roman" w:cs="Times New Roman" w:eastAsia="Times New Roman" w:hAnsi="Times New Roman"/>
          <w:sz w:val="22"/>
          <w:szCs w:val="22"/>
          <w:b w:val="1"/>
          <w:bCs w:val="1"/>
          <w:color w:val="auto"/>
        </w:rPr>
        <w:t>Restricted Party</w:t>
      </w:r>
      <w:r>
        <w:rPr>
          <w:rFonts w:ascii="Times New Roman" w:cs="Times New Roman" w:eastAsia="Times New Roman" w:hAnsi="Times New Roman"/>
          <w:sz w:val="22"/>
          <w:szCs w:val="22"/>
          <w:color w:val="auto"/>
        </w:rPr>
        <w:t>” has the meaning set forth in Section 10.2.2.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1.122</w:t>
      </w:r>
      <w:r>
        <w:rPr>
          <w:rFonts w:ascii="Times New Roman" w:cs="Times New Roman" w:eastAsia="Times New Roman" w:hAnsi="Times New Roman"/>
          <w:sz w:val="22"/>
          <w:szCs w:val="22"/>
          <w:b w:val="1"/>
          <w:bCs w:val="1"/>
          <w:color w:val="auto"/>
        </w:rPr>
        <w:t>“Restricted Period”</w:t>
      </w:r>
      <w:r>
        <w:rPr>
          <w:rFonts w:ascii="Times New Roman" w:cs="Times New Roman" w:eastAsia="Times New Roman" w:hAnsi="Times New Roman"/>
          <w:sz w:val="22"/>
          <w:szCs w:val="22"/>
          <w:color w:val="auto"/>
        </w:rPr>
        <w:t xml:space="preserve"> means the period beginning on the Effective Date and ending [**] thereafter.</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1.123“</w:t>
      </w:r>
      <w:r>
        <w:rPr>
          <w:rFonts w:ascii="Times New Roman" w:cs="Times New Roman" w:eastAsia="Times New Roman" w:hAnsi="Times New Roman"/>
          <w:sz w:val="22"/>
          <w:szCs w:val="22"/>
          <w:b w:val="1"/>
          <w:bCs w:val="1"/>
          <w:color w:val="auto"/>
        </w:rPr>
        <w:t>Right of Reference</w:t>
      </w:r>
      <w:r>
        <w:rPr>
          <w:rFonts w:ascii="Times New Roman" w:cs="Times New Roman" w:eastAsia="Times New Roman" w:hAnsi="Times New Roman"/>
          <w:sz w:val="22"/>
          <w:szCs w:val="22"/>
          <w:color w:val="auto"/>
        </w:rPr>
        <w:t>” has the meaning ascribed thereto in 21 C.F.R. §314.3(b) or equivalents thereto under Applicable Law in countries or jurisdictions outside the United States.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1.124“</w:t>
      </w:r>
      <w:r>
        <w:rPr>
          <w:rFonts w:ascii="Times New Roman" w:cs="Times New Roman" w:eastAsia="Times New Roman" w:hAnsi="Times New Roman"/>
          <w:sz w:val="22"/>
          <w:szCs w:val="22"/>
          <w:b w:val="1"/>
          <w:bCs w:val="1"/>
          <w:color w:val="auto"/>
        </w:rPr>
        <w:t>ROFN Notice</w:t>
      </w:r>
      <w:r>
        <w:rPr>
          <w:rFonts w:ascii="Times New Roman" w:cs="Times New Roman" w:eastAsia="Times New Roman" w:hAnsi="Times New Roman"/>
          <w:sz w:val="22"/>
          <w:szCs w:val="22"/>
          <w:color w:val="auto"/>
        </w:rPr>
        <w:t>” has the meaning set forth in Section 14.6.1.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1.125“</w:t>
      </w:r>
      <w:r>
        <w:rPr>
          <w:rFonts w:ascii="Times New Roman" w:cs="Times New Roman" w:eastAsia="Times New Roman" w:hAnsi="Times New Roman"/>
          <w:sz w:val="22"/>
          <w:szCs w:val="22"/>
          <w:b w:val="1"/>
          <w:bCs w:val="1"/>
          <w:color w:val="auto"/>
        </w:rPr>
        <w:t>ROFN Period</w:t>
      </w:r>
      <w:r>
        <w:rPr>
          <w:rFonts w:ascii="Times New Roman" w:cs="Times New Roman" w:eastAsia="Times New Roman" w:hAnsi="Times New Roman"/>
          <w:sz w:val="22"/>
          <w:szCs w:val="22"/>
          <w:color w:val="auto"/>
        </w:rPr>
        <w:t>” has the meaning set forth in Section 14.6.1.</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1.126“</w:t>
      </w:r>
      <w:r>
        <w:rPr>
          <w:rFonts w:ascii="Times New Roman" w:cs="Times New Roman" w:eastAsia="Times New Roman" w:hAnsi="Times New Roman"/>
          <w:sz w:val="22"/>
          <w:szCs w:val="22"/>
          <w:b w:val="1"/>
          <w:bCs w:val="1"/>
          <w:color w:val="auto"/>
        </w:rPr>
        <w:t>Royalty Sublicense Fees</w:t>
      </w:r>
      <w:r>
        <w:rPr>
          <w:rFonts w:ascii="Times New Roman" w:cs="Times New Roman" w:eastAsia="Times New Roman" w:hAnsi="Times New Roman"/>
          <w:sz w:val="22"/>
          <w:szCs w:val="22"/>
          <w:color w:val="auto"/>
        </w:rPr>
        <w:t>” means all amounts paid by Sublicensees to IMSCP or its Affiliates as royalties on sales of Licensed Molecules or Licensed Products.</w:t>
      </w:r>
    </w:p>
    <w:p>
      <w:pPr>
        <w:spacing w:after="0" w:line="150"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1"/>
          <w:szCs w:val="21"/>
          <w:color w:val="auto"/>
        </w:rPr>
        <w:t>1.127“</w:t>
      </w:r>
      <w:r>
        <w:rPr>
          <w:rFonts w:ascii="Times New Roman" w:cs="Times New Roman" w:eastAsia="Times New Roman" w:hAnsi="Times New Roman"/>
          <w:sz w:val="21"/>
          <w:szCs w:val="21"/>
          <w:b w:val="1"/>
          <w:bCs w:val="1"/>
          <w:color w:val="auto"/>
        </w:rPr>
        <w:t>Royalty Term</w:t>
      </w:r>
      <w:r>
        <w:rPr>
          <w:rFonts w:ascii="Times New Roman" w:cs="Times New Roman" w:eastAsia="Times New Roman" w:hAnsi="Times New Roman"/>
          <w:sz w:val="21"/>
          <w:szCs w:val="21"/>
          <w:color w:val="auto"/>
        </w:rPr>
        <w:t>” means, with respect to a given Licensed Product in a given country, the period beginning on the First Commercial Sale of such Licensed Product in such country and ending on the later of: (a) [**] from the latter of the First Commercial Sale or the Pricing and Reimbursement Approval (if available in such country) of such Licensed Product in such country, (b) expiration of the last to expire Valid Claim of the Cue Patents in such country Covering such Licensed Product, and</w:t>
      </w:r>
    </w:p>
    <w:p>
      <w:pPr>
        <w:spacing w:after="0" w:line="2" w:lineRule="exact"/>
        <w:rPr>
          <w:sz w:val="20"/>
          <w:szCs w:val="20"/>
          <w:color w:val="auto"/>
        </w:rPr>
      </w:pPr>
    </w:p>
    <w:p>
      <w:pPr>
        <w:ind w:left="760" w:right="2740" w:hanging="752"/>
        <w:spacing w:after="0" w:line="422" w:lineRule="auto"/>
        <w:tabs>
          <w:tab w:leader="none" w:pos="305"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expiration of all Regulatory Exclusivity with respect to such Licensed Product in such country. 1.128“</w:t>
      </w:r>
      <w:r>
        <w:rPr>
          <w:rFonts w:ascii="Times New Roman" w:cs="Times New Roman" w:eastAsia="Times New Roman" w:hAnsi="Times New Roman"/>
          <w:sz w:val="22"/>
          <w:szCs w:val="22"/>
          <w:b w:val="1"/>
          <w:bCs w:val="1"/>
          <w:color w:val="auto"/>
        </w:rPr>
        <w:t>Sanctioned Country</w:t>
      </w:r>
      <w:r>
        <w:rPr>
          <w:rFonts w:ascii="Times New Roman" w:cs="Times New Roman" w:eastAsia="Times New Roman" w:hAnsi="Times New Roman"/>
          <w:sz w:val="22"/>
          <w:szCs w:val="22"/>
          <w:color w:val="auto"/>
        </w:rPr>
        <w:t>” has the meaning set forth in Section 10.2.2.</w:t>
      </w: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1.129“</w:t>
      </w:r>
      <w:r>
        <w:rPr>
          <w:rFonts w:ascii="Times New Roman" w:cs="Times New Roman" w:eastAsia="Times New Roman" w:hAnsi="Times New Roman"/>
          <w:sz w:val="22"/>
          <w:szCs w:val="22"/>
          <w:b w:val="1"/>
          <w:bCs w:val="1"/>
          <w:color w:val="auto"/>
        </w:rPr>
        <w:t>SDN List</w:t>
      </w:r>
      <w:r>
        <w:rPr>
          <w:rFonts w:ascii="Times New Roman" w:cs="Times New Roman" w:eastAsia="Times New Roman" w:hAnsi="Times New Roman"/>
          <w:sz w:val="22"/>
          <w:szCs w:val="22"/>
          <w:color w:val="auto"/>
        </w:rPr>
        <w:t>” has the meaning set forth in Section 10.2.2.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1.130“</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has the meaning set forth in Section 9.2.4</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1.131“</w:t>
      </w:r>
      <w:r>
        <w:rPr>
          <w:rFonts w:ascii="Times New Roman" w:cs="Times New Roman" w:eastAsia="Times New Roman" w:hAnsi="Times New Roman"/>
          <w:sz w:val="22"/>
          <w:szCs w:val="22"/>
          <w:b w:val="1"/>
          <w:bCs w:val="1"/>
          <w:color w:val="auto"/>
        </w:rPr>
        <w:t>Second Warrant</w:t>
      </w:r>
      <w:r>
        <w:rPr>
          <w:rFonts w:ascii="Times New Roman" w:cs="Times New Roman" w:eastAsia="Times New Roman" w:hAnsi="Times New Roman"/>
          <w:sz w:val="22"/>
          <w:szCs w:val="22"/>
          <w:color w:val="auto"/>
        </w:rPr>
        <w:t>” has the meaning set forth in Section 7.6.3.</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1.132“</w:t>
      </w:r>
      <w:r>
        <w:rPr>
          <w:rFonts w:ascii="Times New Roman" w:cs="Times New Roman" w:eastAsia="Times New Roman" w:hAnsi="Times New Roman"/>
          <w:sz w:val="21"/>
          <w:szCs w:val="21"/>
          <w:b w:val="1"/>
          <w:bCs w:val="1"/>
          <w:color w:val="auto"/>
        </w:rPr>
        <w:t>Sublicensee</w:t>
      </w:r>
      <w:r>
        <w:rPr>
          <w:rFonts w:ascii="Times New Roman" w:cs="Times New Roman" w:eastAsia="Times New Roman" w:hAnsi="Times New Roman"/>
          <w:sz w:val="21"/>
          <w:szCs w:val="21"/>
          <w:color w:val="auto"/>
        </w:rPr>
        <w:t>” means any Third Party to whom IMSCP or any of its Affiliates or Sublicensees has granted either:</w:t>
      </w:r>
    </w:p>
    <w:p>
      <w:pPr>
        <w:spacing w:after="0" w:line="30" w:lineRule="exact"/>
        <w:rPr>
          <w:sz w:val="20"/>
          <w:szCs w:val="20"/>
          <w:color w:val="auto"/>
        </w:rPr>
      </w:pPr>
    </w:p>
    <w:p>
      <w:pPr>
        <w:jc w:val="both"/>
        <w:ind w:firstLine="8"/>
        <w:spacing w:after="0" w:line="233" w:lineRule="auto"/>
        <w:tabs>
          <w:tab w:leader="none" w:pos="31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sublicense or other grant of rights under the IMSCP Research License or IMSCP Commercial License or (b) any license, assignment, covenant not to sue, or other grant of rights to Exploit, or authorizing or enabling the Exploitation of, a Licensed Molecule or Licensed Product. For the avoidance of doubt, Sublicensee does not include a CMO or any other subcontractor or service provider of IMSCP (or any Affiliate or Sublicensee) using a sublicense solely to perform services for or on behalf of IMSCP (or such Affiliate or Sublicensee).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1.133“</w:t>
      </w:r>
      <w:r>
        <w:rPr>
          <w:rFonts w:ascii="Times New Roman" w:cs="Times New Roman" w:eastAsia="Times New Roman" w:hAnsi="Times New Roman"/>
          <w:sz w:val="22"/>
          <w:szCs w:val="22"/>
          <w:b w:val="1"/>
          <w:bCs w:val="1"/>
          <w:color w:val="auto"/>
        </w:rPr>
        <w:t>TCR</w:t>
      </w:r>
      <w:r>
        <w:rPr>
          <w:rFonts w:ascii="Times New Roman" w:cs="Times New Roman" w:eastAsia="Times New Roman" w:hAnsi="Times New Roman"/>
          <w:sz w:val="22"/>
          <w:szCs w:val="22"/>
          <w:color w:val="auto"/>
        </w:rPr>
        <w:t>” has the meaning set forth in Section 4.2.1.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1.134“</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has the meaning set forth in Section 12.1.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1.135“</w:t>
      </w:r>
      <w:r>
        <w:rPr>
          <w:rFonts w:ascii="Times New Roman" w:cs="Times New Roman" w:eastAsia="Times New Roman" w:hAnsi="Times New Roman"/>
          <w:sz w:val="22"/>
          <w:szCs w:val="22"/>
          <w:b w:val="1"/>
          <w:bCs w:val="1"/>
          <w:color w:val="auto"/>
        </w:rPr>
        <w:t>Terminated Products</w:t>
      </w:r>
      <w:r>
        <w:rPr>
          <w:rFonts w:ascii="Times New Roman" w:cs="Times New Roman" w:eastAsia="Times New Roman" w:hAnsi="Times New Roman"/>
          <w:sz w:val="22"/>
          <w:szCs w:val="22"/>
          <w:color w:val="auto"/>
        </w:rPr>
        <w:t>” has the meaning set forth in Section 12.5.1.</w:t>
      </w:r>
    </w:p>
    <w:p>
      <w:pPr>
        <w:spacing w:after="0" w:line="21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Exhibit A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01" w:name="page202"/>
    <w:bookmarkEnd w:id="201"/>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1.136“</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(a) worldwide for all CUE-100 Series Subject Molecules except CUE-101 Molecules and CUE-102 Molecules, and (b) worldwide for all CUE-101 Molecules and CUE-102 Molecules, excluding the [**] Territory for so long as and to the extent that (i) the [**] Agreement or any amendment thereto remains in effect or (ii) Cue has any surviving performance obligations (including any payment obligation) under [**] Agreement.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1.137“</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any Person other than Cue, IMSCP or their respective Affiliates.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1.138“</w:t>
      </w:r>
      <w:r>
        <w:rPr>
          <w:rFonts w:ascii="Times New Roman" w:cs="Times New Roman" w:eastAsia="Times New Roman" w:hAnsi="Times New Roman"/>
          <w:sz w:val="22"/>
          <w:szCs w:val="22"/>
          <w:b w:val="1"/>
          <w:bCs w:val="1"/>
          <w:color w:val="auto"/>
        </w:rPr>
        <w:t>Title 11</w:t>
      </w:r>
      <w:r>
        <w:rPr>
          <w:rFonts w:ascii="Times New Roman" w:cs="Times New Roman" w:eastAsia="Times New Roman" w:hAnsi="Times New Roman"/>
          <w:sz w:val="22"/>
          <w:szCs w:val="22"/>
          <w:color w:val="auto"/>
        </w:rPr>
        <w:t>” has the meaning set forth in Section 14.2.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1.139“</w:t>
      </w:r>
      <w:r>
        <w:rPr>
          <w:rFonts w:ascii="Times New Roman" w:cs="Times New Roman" w:eastAsia="Times New Roman" w:hAnsi="Times New Roman"/>
          <w:sz w:val="22"/>
          <w:szCs w:val="22"/>
          <w:b w:val="1"/>
          <w:bCs w:val="1"/>
          <w:color w:val="auto"/>
        </w:rPr>
        <w:t>Transfer Activities</w:t>
      </w:r>
      <w:r>
        <w:rPr>
          <w:rFonts w:ascii="Times New Roman" w:cs="Times New Roman" w:eastAsia="Times New Roman" w:hAnsi="Times New Roman"/>
          <w:sz w:val="22"/>
          <w:szCs w:val="22"/>
          <w:color w:val="auto"/>
        </w:rPr>
        <w:t>” has the meaning set forth in Section 2.1.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1.140“</w:t>
      </w:r>
      <w:r>
        <w:rPr>
          <w:rFonts w:ascii="Times New Roman" w:cs="Times New Roman" w:eastAsia="Times New Roman" w:hAnsi="Times New Roman"/>
          <w:sz w:val="22"/>
          <w:szCs w:val="22"/>
          <w:b w:val="1"/>
          <w:bCs w:val="1"/>
          <w:color w:val="auto"/>
        </w:rPr>
        <w:t>Transfer Fees</w:t>
      </w:r>
      <w:r>
        <w:rPr>
          <w:rFonts w:ascii="Times New Roman" w:cs="Times New Roman" w:eastAsia="Times New Roman" w:hAnsi="Times New Roman"/>
          <w:sz w:val="22"/>
          <w:szCs w:val="22"/>
          <w:color w:val="auto"/>
        </w:rPr>
        <w:t>” has the meaning set forth in Section 7.2.1.</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1.141“</w:t>
      </w:r>
      <w:r>
        <w:rPr>
          <w:rFonts w:ascii="Times New Roman" w:cs="Times New Roman" w:eastAsia="Times New Roman" w:hAnsi="Times New Roman"/>
          <w:sz w:val="22"/>
          <w:szCs w:val="22"/>
          <w:b w:val="1"/>
          <w:bCs w:val="1"/>
          <w:color w:val="auto"/>
        </w:rPr>
        <w:t>Transfer Plan</w:t>
      </w:r>
      <w:r>
        <w:rPr>
          <w:rFonts w:ascii="Times New Roman" w:cs="Times New Roman" w:eastAsia="Times New Roman" w:hAnsi="Times New Roman"/>
          <w:sz w:val="22"/>
          <w:szCs w:val="22"/>
          <w:color w:val="auto"/>
        </w:rPr>
        <w:t>” means the transfer plan attached hereto as Exhibit 1.141, as may be amended by the Parties from time-to-time following good faith discussions with respect thereto.</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1.142“</w:t>
      </w:r>
      <w:r>
        <w:rPr>
          <w:rFonts w:ascii="Times New Roman" w:cs="Times New Roman" w:eastAsia="Times New Roman" w:hAnsi="Times New Roman"/>
          <w:sz w:val="22"/>
          <w:szCs w:val="22"/>
          <w:b w:val="1"/>
          <w:bCs w:val="1"/>
          <w:color w:val="auto"/>
        </w:rPr>
        <w:t>Transferred Product</w:t>
      </w:r>
      <w:r>
        <w:rPr>
          <w:rFonts w:ascii="Times New Roman" w:cs="Times New Roman" w:eastAsia="Times New Roman" w:hAnsi="Times New Roman"/>
          <w:sz w:val="22"/>
          <w:szCs w:val="22"/>
          <w:color w:val="auto"/>
        </w:rPr>
        <w:t>” has the meaning set forth in Section 6.2.</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1.143“</w:t>
      </w:r>
      <w:r>
        <w:rPr>
          <w:rFonts w:ascii="Times New Roman" w:cs="Times New Roman" w:eastAsia="Times New Roman" w:hAnsi="Times New Roman"/>
          <w:sz w:val="22"/>
          <w:szCs w:val="22"/>
          <w:b w:val="1"/>
          <w:bCs w:val="1"/>
          <w:color w:val="auto"/>
        </w:rPr>
        <w:t>Upfront Payments</w:t>
      </w:r>
      <w:r>
        <w:rPr>
          <w:rFonts w:ascii="Times New Roman" w:cs="Times New Roman" w:eastAsia="Times New Roman" w:hAnsi="Times New Roman"/>
          <w:sz w:val="22"/>
          <w:szCs w:val="22"/>
          <w:color w:val="auto"/>
        </w:rPr>
        <w:t>” has the meaning set forth in Section 7.1.3.</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1.144“</w:t>
      </w:r>
      <w:r>
        <w:rPr>
          <w:rFonts w:ascii="Times New Roman" w:cs="Times New Roman" w:eastAsia="Times New Roman" w:hAnsi="Times New Roman"/>
          <w:sz w:val="22"/>
          <w:szCs w:val="22"/>
          <w:b w:val="1"/>
          <w:bCs w:val="1"/>
          <w:color w:val="auto"/>
        </w:rPr>
        <w:t>Valid Claim</w:t>
      </w:r>
      <w:r>
        <w:rPr>
          <w:rFonts w:ascii="Times New Roman" w:cs="Times New Roman" w:eastAsia="Times New Roman" w:hAnsi="Times New Roman"/>
          <w:sz w:val="22"/>
          <w:szCs w:val="22"/>
          <w:color w:val="auto"/>
        </w:rPr>
        <w:t>” means, on a country-by-country basis, a claim of a Cue Patent (including any Joint IMSCP/Cue Patent) that has not been revoked or held unenforceable, unpatentable or invalid by a decision of a court or other governmental agency of competent jurisdiction that is not appealable or has not been appealed within the time allowed for appeal, and that has not been abandoned, explicitly disclaimed, denied or admitted in writing to be invalid or unenforceable through reissue, re-examination or disclaimer or otherwise. Notwithstanding the foregoing, if a claim of a pending patent application within the Cue Patents has not issued as a claim of a patent within [**] after the filing date from which such claim takes priority, such claim shall not be a Valid Claim for the purposes of this Agreement, unless and until such claim issues as a claim of an issued patent (from and after which time the same shall be deemed a Valid Claim subject to the paragraph above).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1.145“</w:t>
      </w:r>
      <w:r>
        <w:rPr>
          <w:rFonts w:ascii="Times New Roman" w:cs="Times New Roman" w:eastAsia="Times New Roman" w:hAnsi="Times New Roman"/>
          <w:sz w:val="22"/>
          <w:szCs w:val="22"/>
          <w:b w:val="1"/>
          <w:bCs w:val="1"/>
          <w:color w:val="auto"/>
        </w:rPr>
        <w:t>Withholding Amount</w:t>
      </w:r>
      <w:r>
        <w:rPr>
          <w:rFonts w:ascii="Times New Roman" w:cs="Times New Roman" w:eastAsia="Times New Roman" w:hAnsi="Times New Roman"/>
          <w:sz w:val="22"/>
          <w:szCs w:val="22"/>
          <w:color w:val="auto"/>
        </w:rPr>
        <w:t>” has the meaning set forth in Section 7.11.</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1.146“</w:t>
      </w:r>
      <w:r>
        <w:rPr>
          <w:rFonts w:ascii="Times New Roman" w:cs="Times New Roman" w:eastAsia="Times New Roman" w:hAnsi="Times New Roman"/>
          <w:sz w:val="22"/>
          <w:szCs w:val="22"/>
          <w:b w:val="1"/>
          <w:bCs w:val="1"/>
          <w:color w:val="auto"/>
        </w:rPr>
        <w:t>WT-1 Combo</w:t>
      </w:r>
      <w:r>
        <w:rPr>
          <w:rFonts w:ascii="Times New Roman" w:cs="Times New Roman" w:eastAsia="Times New Roman" w:hAnsi="Times New Roman"/>
          <w:sz w:val="22"/>
          <w:szCs w:val="22"/>
          <w:color w:val="auto"/>
        </w:rPr>
        <w:t>” has the meaning set forth in Section 4.2.1.</w:t>
      </w:r>
    </w:p>
    <w:p>
      <w:pPr>
        <w:spacing w:after="0" w:line="2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PROGRAM TRANSFER</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b w:val="1"/>
          <w:bCs w:val="1"/>
          <w:color w:val="auto"/>
        </w:rPr>
        <w:t>Performance</w:t>
      </w:r>
      <w:r>
        <w:rPr>
          <w:rFonts w:ascii="Times New Roman" w:cs="Times New Roman" w:eastAsia="Times New Roman" w:hAnsi="Times New Roman"/>
          <w:sz w:val="22"/>
          <w:szCs w:val="22"/>
          <w:color w:val="auto"/>
        </w:rPr>
        <w:t>. After Cue’s receipt of the Closing Payment, and to the extent requested in writing by IMSCP, Cue shall use Commercially Reasonable Efforts to (a) complete the activities described in the Transfer Plan (the “</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Activities</w:t>
      </w:r>
      <w:r>
        <w:rPr>
          <w:rFonts w:ascii="Times New Roman" w:cs="Times New Roman" w:eastAsia="Times New Roman" w:hAnsi="Times New Roman"/>
          <w:sz w:val="22"/>
          <w:szCs w:val="22"/>
          <w:color w:val="auto"/>
        </w:rPr>
        <w:t>”) and (b) provide the deliverables described in the Transfer Plan (the “</w:t>
      </w:r>
      <w:r>
        <w:rPr>
          <w:rFonts w:ascii="Times New Roman" w:cs="Times New Roman" w:eastAsia="Times New Roman" w:hAnsi="Times New Roman"/>
          <w:sz w:val="22"/>
          <w:szCs w:val="22"/>
          <w:b w:val="1"/>
          <w:bCs w:val="1"/>
          <w:color w:val="auto"/>
        </w:rPr>
        <w:t>Deliverables</w:t>
      </w:r>
      <w:r>
        <w:rPr>
          <w:rFonts w:ascii="Times New Roman" w:cs="Times New Roman" w:eastAsia="Times New Roman" w:hAnsi="Times New Roman"/>
          <w:sz w:val="22"/>
          <w:szCs w:val="22"/>
          <w:color w:val="auto"/>
        </w:rPr>
        <w:t>”). In the event of any conflict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the Transfer Plan and this Agreement, except to the extent specifically agreed by the Parties in writing, the terms of this Agreement will control. Notwithstanding any provision of this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02" w:name="page203"/>
    <w:bookmarkEnd w:id="202"/>
    <w:p>
      <w:pPr>
        <w:jc w:val="both"/>
        <w:spacing w:after="0" w:line="244" w:lineRule="auto"/>
        <w:rPr>
          <w:sz w:val="20"/>
          <w:szCs w:val="20"/>
          <w:color w:val="auto"/>
        </w:rPr>
      </w:pPr>
      <w:r>
        <w:rPr>
          <w:rFonts w:ascii="Times New Roman" w:cs="Times New Roman" w:eastAsia="Times New Roman" w:hAnsi="Times New Roman"/>
          <w:sz w:val="22"/>
          <w:szCs w:val="22"/>
          <w:color w:val="auto"/>
        </w:rPr>
        <w:t>Agreement to the contrary Cue shall not be obligated to perform any Transfer Activity or provide any Deliverable to the extent (i) doing so is not permitted under Applicable Law or (ii) IMSCP does not deliver a written request to Cue to perform such Transfer Activity or provide such Deliverable within [**] following the Effective Date.</w:t>
      </w:r>
    </w:p>
    <w:p>
      <w:pPr>
        <w:spacing w:after="0" w:line="16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b w:val="1"/>
          <w:bCs w:val="1"/>
          <w:color w:val="auto"/>
        </w:rPr>
        <w:t>Use of Deliverables</w:t>
      </w:r>
      <w:r>
        <w:rPr>
          <w:rFonts w:ascii="Times New Roman" w:cs="Times New Roman" w:eastAsia="Times New Roman" w:hAnsi="Times New Roman"/>
          <w:sz w:val="22"/>
          <w:szCs w:val="22"/>
          <w:color w:val="auto"/>
        </w:rPr>
        <w:t xml:space="preserve">. IMSCP shall use the Deliverables solely to exercise its rights under this Agreement and for no other purpose. IMSCP shall not sell, transfer, disclose or otherwise provide access to the Deliverables without the written consent of Cue, except that IMSCP may allow access to the Deliverables to its Affiliates and its and their respective Representatives, and Sublicensees solely for purposes consistent with this Agreement; provided that IMSCP binds such Affiliates and its and their respective Representatives and Sublicensees are bound by written agreement to retain and use the Deliverables only in a manner that is consistent with the terms of this Agreement. EXCEPT AS OTHERWISE SET FORTH IN ARTICLE 10, THE DELIVERABLES BEING SUPPLIED UNDER THIS AGREEMENT ARE BEING SUPPLIED “AS IS”, WITH NO WARRANTIES, EXPRESS OR IMPLIED, AND CUE </w:t>
      </w:r>
      <w:r>
        <w:rPr>
          <w:rFonts w:ascii="Times New Roman" w:cs="Times New Roman" w:eastAsia="Times New Roman" w:hAnsi="Times New Roman"/>
          <w:sz w:val="19"/>
          <w:szCs w:val="19"/>
          <w:color w:val="auto"/>
        </w:rPr>
        <w:t>EXPRESSLY DISCLAIMS</w:t>
      </w:r>
      <w:r>
        <w:rPr>
          <w:rFonts w:ascii="Times New Roman" w:cs="Times New Roman" w:eastAsia="Times New Roman" w:hAnsi="Times New Roman"/>
          <w:sz w:val="22"/>
          <w:szCs w:val="22"/>
          <w:color w:val="auto"/>
        </w:rPr>
        <w:t xml:space="preserve"> ANY WARRANTY OF MERCHANTABILITY, FITNESS FOR A PARTICULAR PURPOSE, OR NONINFRINGEMENT OF ANY INTELLECTUAL PROPERTY RIGHTS OF ANY THIRD PARTY. IMSCP acknowledges the experimental nature of the Deliverables and that accordingly, not all characteristics of the Deliverables are necessarily known. IMSCP shall not administer any compound or substance provided as a Deliverable to humans.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LICENSES; EXCLUSIVITY</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3.1</w:t>
      </w:r>
      <w:r>
        <w:rPr>
          <w:rFonts w:ascii="Times New Roman" w:cs="Times New Roman" w:eastAsia="Times New Roman" w:hAnsi="Times New Roman"/>
          <w:sz w:val="22"/>
          <w:szCs w:val="22"/>
          <w:b w:val="1"/>
          <w:bCs w:val="1"/>
          <w:color w:val="auto"/>
        </w:rPr>
        <w:t>IMSCP Research License</w:t>
      </w:r>
      <w:r>
        <w:rPr>
          <w:rFonts w:ascii="Times New Roman" w:cs="Times New Roman" w:eastAsia="Times New Roman" w:hAnsi="Times New Roman"/>
          <w:sz w:val="22"/>
          <w:szCs w:val="22"/>
          <w:color w:val="auto"/>
        </w:rPr>
        <w:t>. Subject to the terms and conditions of this Agreement and the [**] License Agreement (to the extent applicable to the [**] Licensed IP), during the Research Period, Cue, on behalf of itself and its Affiliates, hereby grants to IMSCP a co-exclusive (solely with Cue and its Affiliates and subject to Section 3.4) license, with the right to grant and authorize sublicenses solely as provided in Section 3.3, under the CUE-100 Series Technology to Research and Develop CUE-100 Series Subject Molecules in the Field in the Territory (the “</w:t>
      </w:r>
      <w:r>
        <w:rPr>
          <w:rFonts w:ascii="Times New Roman" w:cs="Times New Roman" w:eastAsia="Times New Roman" w:hAnsi="Times New Roman"/>
          <w:sz w:val="22"/>
          <w:szCs w:val="22"/>
          <w:b w:val="1"/>
          <w:bCs w:val="1"/>
          <w:color w:val="auto"/>
        </w:rPr>
        <w:t>IMSCP Research License</w:t>
      </w:r>
      <w:r>
        <w:rPr>
          <w:rFonts w:ascii="Times New Roman" w:cs="Times New Roman" w:eastAsia="Times New Roman" w:hAnsi="Times New Roman"/>
          <w:sz w:val="22"/>
          <w:szCs w:val="22"/>
          <w:color w:val="auto"/>
        </w:rPr>
        <w:t>”). Notwithstanding any provision of this Agreement to the contrary, the license granted to IMSCP in this Section 3.1 does not include any license to Research or Develop any CUE-101 Molecule or CUE-102 Molecule (a) in the [**] Territory for so long as, and to the extent that, the [**] Territory remains excluded from the Territory, or (b) in any manner that conflicts with any CUE-100 Series Excluded Rights. The IMSCP Research License shall terminate at the end of the Research Period, and IMSCP will only retain the rights granted to it in the IMSCP Commercial License for the remainder of the Term.</w:t>
      </w:r>
    </w:p>
    <w:p>
      <w:pPr>
        <w:spacing w:after="0" w:line="17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3.2</w:t>
      </w:r>
      <w:r>
        <w:rPr>
          <w:rFonts w:ascii="Times New Roman" w:cs="Times New Roman" w:eastAsia="Times New Roman" w:hAnsi="Times New Roman"/>
          <w:sz w:val="22"/>
          <w:szCs w:val="22"/>
          <w:b w:val="1"/>
          <w:bCs w:val="1"/>
          <w:color w:val="auto"/>
        </w:rPr>
        <w:t>IMSCP Commercial License</w:t>
      </w:r>
      <w:r>
        <w:rPr>
          <w:rFonts w:ascii="Times New Roman" w:cs="Times New Roman" w:eastAsia="Times New Roman" w:hAnsi="Times New Roman"/>
          <w:sz w:val="22"/>
          <w:szCs w:val="22"/>
          <w:color w:val="auto"/>
        </w:rPr>
        <w:t>. Subject to the terms and conditions of this Agreement and the [**] License Agreement (to the extent applicable to the [**] Licensed IP), during the Term, Cue, on behalf of itself and its Affiliates, hereby grants to IMSCP an exclusive (even as to Cue and its Affiliates), royalty-bearing license, with the right to grant and authorize sublicenses solely as provided in Section 3.3, under the Licensed Product Technology to Exploit Licensed Molecules and Licensed Products in the Field in the Territory (the “</w:t>
      </w:r>
      <w:r>
        <w:rPr>
          <w:rFonts w:ascii="Times New Roman" w:cs="Times New Roman" w:eastAsia="Times New Roman" w:hAnsi="Times New Roman"/>
          <w:sz w:val="22"/>
          <w:szCs w:val="22"/>
          <w:b w:val="1"/>
          <w:bCs w:val="1"/>
          <w:color w:val="auto"/>
        </w:rPr>
        <w:t>IMSCP Commercial License</w:t>
      </w:r>
      <w:r>
        <w:rPr>
          <w:rFonts w:ascii="Times New Roman" w:cs="Times New Roman" w:eastAsia="Times New Roman" w:hAnsi="Times New Roman"/>
          <w:sz w:val="22"/>
          <w:szCs w:val="22"/>
          <w:color w:val="auto"/>
        </w:rPr>
        <w:t>”). Notwithstanding any provision of this Agreement to the contrary, the license granted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03" w:name="page204"/>
    <w:bookmarkEnd w:id="203"/>
    <w:p>
      <w:pPr>
        <w:jc w:val="both"/>
        <w:spacing w:after="0" w:line="244" w:lineRule="auto"/>
        <w:rPr>
          <w:sz w:val="20"/>
          <w:szCs w:val="20"/>
          <w:color w:val="auto"/>
        </w:rPr>
      </w:pPr>
      <w:r>
        <w:rPr>
          <w:rFonts w:ascii="Times New Roman" w:cs="Times New Roman" w:eastAsia="Times New Roman" w:hAnsi="Times New Roman"/>
          <w:sz w:val="22"/>
          <w:szCs w:val="22"/>
          <w:color w:val="auto"/>
        </w:rPr>
        <w:t>in this Section 3.2 does not include any license to Exploit any CUE-101 Molecule or CUE-102 Molecule (a) in the [**] Territory for so long as, and to the extent that, the [**] Territory remains excluded from the Territory or (b) in any manner that conflicts with any CUE-100 Series Excluded Rights.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3.3</w:t>
      </w:r>
      <w:r>
        <w:rPr>
          <w:rFonts w:ascii="Times New Roman" w:cs="Times New Roman" w:eastAsia="Times New Roman" w:hAnsi="Times New Roman"/>
          <w:sz w:val="22"/>
          <w:szCs w:val="22"/>
          <w:b w:val="1"/>
          <w:bCs w:val="1"/>
          <w:color w:val="auto"/>
        </w:rPr>
        <w:t>Sublicensing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3.3.1 </w:t>
      </w:r>
      <w:r>
        <w:rPr>
          <w:rFonts w:ascii="Times New Roman" w:cs="Times New Roman" w:eastAsia="Times New Roman" w:hAnsi="Times New Roman"/>
          <w:sz w:val="22"/>
          <w:szCs w:val="22"/>
          <w:b w:val="1"/>
          <w:bCs w:val="1"/>
          <w:color w:val="auto"/>
        </w:rPr>
        <w:t>Right to Sublicense</w:t>
      </w:r>
      <w:r>
        <w:rPr>
          <w:rFonts w:ascii="Times New Roman" w:cs="Times New Roman" w:eastAsia="Times New Roman" w:hAnsi="Times New Roman"/>
          <w:sz w:val="22"/>
          <w:szCs w:val="22"/>
          <w:color w:val="auto"/>
        </w:rPr>
        <w:t xml:space="preserve">. Subject to the terms and conditions of this Agreement and the [**] License Agreement, IMSCP will have the right, without Cue’s consent, to grant sublicenses (whether directly or through multiple tiers) to one or more Third Parties; provided that, IMSCP and its Affiliates, and Sublicensees, will not grant or authorize any sublicense to Research, Develop or Commercialize any CUE-100 Series Subject Molecule, Licensed Molecule or a Licensed Product to any Third Party that is not a Qualified Biopharmaceutical Company without (i) unanimous approval of the board of directors of IMSCP (for so long as Cue is entitled to appoint the Cue Director) or (ii) the written consent of Cue. The Parties acknowledge and agree that any CUE-100 Series Technology or Licensed Product Technology that is Controlled by Cue by virtue of the [**] License Agreement (“[**] </w:t>
      </w:r>
      <w:r>
        <w:rPr>
          <w:rFonts w:ascii="Times New Roman" w:cs="Times New Roman" w:eastAsia="Times New Roman" w:hAnsi="Times New Roman"/>
          <w:sz w:val="22"/>
          <w:szCs w:val="22"/>
          <w:b w:val="1"/>
          <w:bCs w:val="1"/>
          <w:color w:val="auto"/>
        </w:rPr>
        <w:t>Licensed IP”</w:t>
      </w:r>
      <w:r>
        <w:rPr>
          <w:rFonts w:ascii="Times New Roman" w:cs="Times New Roman" w:eastAsia="Times New Roman" w:hAnsi="Times New Roman"/>
          <w:sz w:val="22"/>
          <w:szCs w:val="22"/>
          <w:color w:val="auto"/>
        </w:rPr>
        <w:t>) may not be further sublicensed by IMSCP to any Sublicensee without [**]’s prior written consent. If [**] refuses to grant any such consent, then Cue will, to the extent permitted under the [**] License Agreement, grant a direct sublicense to the applicable Sublicensee subject to the terms and conditions of this Agreement and the [**] License Agreement.</w:t>
      </w:r>
    </w:p>
    <w:p>
      <w:pPr>
        <w:spacing w:after="0" w:line="17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3.3.2 </w:t>
      </w:r>
      <w:r>
        <w:rPr>
          <w:rFonts w:ascii="Times New Roman" w:cs="Times New Roman" w:eastAsia="Times New Roman" w:hAnsi="Times New Roman"/>
          <w:sz w:val="22"/>
          <w:szCs w:val="22"/>
          <w:b w:val="1"/>
          <w:bCs w:val="1"/>
          <w:color w:val="auto"/>
        </w:rPr>
        <w:t>Sublicensing Requirements</w:t>
      </w:r>
      <w:r>
        <w:rPr>
          <w:rFonts w:ascii="Times New Roman" w:cs="Times New Roman" w:eastAsia="Times New Roman" w:hAnsi="Times New Roman"/>
          <w:sz w:val="22"/>
          <w:szCs w:val="22"/>
          <w:color w:val="auto"/>
        </w:rPr>
        <w:t>. Any sublicense granted or authorized by IMSCP, its Affiliate or any Sublicensee under the IMSCP Research License or IMSCP Commercial License shall be in writing, and consistent with and subject to, and require the applicable Affiliate of IMSCP or Sublicensee receiving such sublicense to comply with IMSCP’s applicable obligations under, the terms of this Agreement. IMSCP shall remain solely responsible for full performance of its obligations under this Agreement and will be responsible for all actions and inactions of any Sublicensees or its Affiliates, as applicable, as if such Sublicensees or Affiliates, as applicable, were IMSCP hereunder. Further, upon the execution of any agreement with a Sublicensee (or any amendment thereto) pertaining to a sublicense under the IMSCP Research License or IMSCP Commercial License, IMSCP shall provide Cue with a complete and accurate copy thereof; provided that [**].</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3.4</w:t>
      </w:r>
      <w:r>
        <w:rPr>
          <w:rFonts w:ascii="Times New Roman" w:cs="Times New Roman" w:eastAsia="Times New Roman" w:hAnsi="Times New Roman"/>
          <w:sz w:val="22"/>
          <w:szCs w:val="22"/>
          <w:b w:val="1"/>
          <w:bCs w:val="1"/>
          <w:color w:val="auto"/>
        </w:rPr>
        <w:t>Exclusivity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1"/>
          <w:szCs w:val="21"/>
          <w:color w:val="auto"/>
        </w:rPr>
        <w:t xml:space="preserve">3.4.1 </w:t>
      </w:r>
      <w:r>
        <w:rPr>
          <w:rFonts w:ascii="Times New Roman" w:cs="Times New Roman" w:eastAsia="Times New Roman" w:hAnsi="Times New Roman"/>
          <w:sz w:val="21"/>
          <w:szCs w:val="21"/>
          <w:b w:val="1"/>
          <w:bCs w:val="1"/>
          <w:color w:val="auto"/>
        </w:rPr>
        <w:t>Exclusivity Obligations</w:t>
      </w:r>
      <w:r>
        <w:rPr>
          <w:rFonts w:ascii="Times New Roman" w:cs="Times New Roman" w:eastAsia="Times New Roman" w:hAnsi="Times New Roman"/>
          <w:sz w:val="21"/>
          <w:szCs w:val="21"/>
          <w:color w:val="auto"/>
        </w:rPr>
        <w:t>. (a) During the Research Period, Cue shall not, whether by itself or with, through or for any Affiliate or Third Party, Commercialize in the Territory any CUE-100 Series Subject Molecule (whether as a monotherapy or as a component in a combination therapy) that is primarily Directed To any oncology target, and (b) following the Research Period and during the Term, Cue shall not, whether by itself or with, through or for any Affiliate or Third Party, Commercialize in the Territory any CUE-100 Series Subject Molecule (whether as a monotherapy or as a component in a combination therapy) Directed To the same Indication as a Licensed Product (such activities, “</w:t>
      </w:r>
      <w:r>
        <w:rPr>
          <w:rFonts w:ascii="Times New Roman" w:cs="Times New Roman" w:eastAsia="Times New Roman" w:hAnsi="Times New Roman"/>
          <w:sz w:val="21"/>
          <w:szCs w:val="21"/>
          <w:b w:val="1"/>
          <w:bCs w:val="1"/>
          <w:color w:val="auto"/>
        </w:rPr>
        <w:t>Restricted Activities</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3.4.2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In the event of a Change of Control of Cue, the exclusivity restrictions set forth in Section 3.4.1 for Restricted Activities shall not apply to any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04" w:name="page205"/>
    <w:bookmarkEnd w:id="204"/>
    <w:p>
      <w:pPr>
        <w:jc w:val="both"/>
        <w:spacing w:after="0" w:line="244" w:lineRule="auto"/>
        <w:rPr>
          <w:sz w:val="20"/>
          <w:szCs w:val="20"/>
          <w:color w:val="auto"/>
        </w:rPr>
      </w:pPr>
      <w:r>
        <w:rPr>
          <w:rFonts w:ascii="Times New Roman" w:cs="Times New Roman" w:eastAsia="Times New Roman" w:hAnsi="Times New Roman"/>
          <w:sz w:val="22"/>
          <w:szCs w:val="22"/>
          <w:color w:val="auto"/>
        </w:rPr>
        <w:t>compounds or molecules of the Acquiring Party that exist prior to, at or after the closing of such Change of Control; provided that no Licensed Product Technology or any non-public, proprietary Know-How of IMSCP is used in any material manner by or on behalf of the Acquiring Parties.</w:t>
      </w:r>
    </w:p>
    <w:p>
      <w:pPr>
        <w:spacing w:after="0" w:line="16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3.5</w:t>
      </w:r>
      <w:r>
        <w:rPr>
          <w:rFonts w:ascii="Times New Roman" w:cs="Times New Roman" w:eastAsia="Times New Roman" w:hAnsi="Times New Roman"/>
          <w:sz w:val="21"/>
          <w:szCs w:val="21"/>
          <w:b w:val="1"/>
          <w:bCs w:val="1"/>
          <w:color w:val="auto"/>
        </w:rPr>
        <w:t>No Other Rights</w:t>
      </w:r>
      <w:r>
        <w:rPr>
          <w:rFonts w:ascii="Times New Roman" w:cs="Times New Roman" w:eastAsia="Times New Roman" w:hAnsi="Times New Roman"/>
          <w:sz w:val="21"/>
          <w:szCs w:val="21"/>
          <w:color w:val="auto"/>
        </w:rPr>
        <w:t>. Each Party retains all rights under all Know-How, Patents and other intellectual property or proprietary rights owned or controlled by such Party which are not expressly granted to the other Party pursuant to this Agreement. Except as otherwise expressly provided in this Agreement, under no circumstances will a Party or any of its Affiliates, as a result of this Agreement, obtain any ownership interest, license or other right in or to any Know-How, Patents or other intellectual property rights of the other Party, including tangible or intangible items owned, controlled or developed by the other Party, or provided by the other Party to the receiving Party at any time, in each case, pursuant to this Agreement. Notwithstanding any provision of this Agreement to the contrary, neither Cue nor its Affiliates grant any license or right under this Agreement (and, accordingly, the Cue Licensed IP does not include any rights under any Know-How or Patents) to Exploit:</w:t>
      </w:r>
    </w:p>
    <w:p>
      <w:pPr>
        <w:spacing w:after="0" w:line="8" w:lineRule="exact"/>
        <w:rPr>
          <w:sz w:val="20"/>
          <w:szCs w:val="20"/>
          <w:color w:val="auto"/>
        </w:rPr>
      </w:pPr>
    </w:p>
    <w:p>
      <w:pPr>
        <w:jc w:val="both"/>
        <w:ind w:firstLine="8"/>
        <w:spacing w:after="0" w:line="249" w:lineRule="auto"/>
        <w:tabs>
          <w:tab w:leader="none" w:pos="306"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small molecule, biologic, compound, cell, binding moiety, construct or sequence (or fragment of the foregoing), in each case, that is not a Licensed Molecule or that is not Directed To an oncology target, (b) any product that is not a Licensed Product, or (c) any CUE-101 Molecule or CUE-102 Molecule in any manner that conflicts with any CUE-100 Series Excluded Rights.</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b w:val="1"/>
          <w:bCs w:val="1"/>
          <w:color w:val="auto"/>
        </w:rPr>
        <w:t>License Agreement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3.6.1 Notwithstanding any provision of this Agreement to the contrary, any license granted by Cue to IMSCP under Section 3.1 or Section 3.2 with respect to any [**] Licensed IP shall be non-exclusive, non-sublicensable, and subject to all terms and conditions of the [**] License Agreement.</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3.6.2 To the extent the license granted to IMSCP under Section 3.1 or Section 3.2 includes rights to any [**] Licensed IP, IMSCP hereby agrees to comply with the provisions contained in Exhibit 3.6. All capitalized terms used in Exhibit 3.6 but not defined therein shall have the meaning set forth in the [**] License Agreement.</w:t>
      </w:r>
    </w:p>
    <w:p>
      <w:pPr>
        <w:spacing w:after="0" w:line="16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DILIGENCE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4.1</w:t>
      </w:r>
      <w:r>
        <w:rPr>
          <w:rFonts w:ascii="Times New Roman" w:cs="Times New Roman" w:eastAsia="Times New Roman" w:hAnsi="Times New Roman"/>
          <w:sz w:val="22"/>
          <w:szCs w:val="22"/>
          <w:b w:val="1"/>
          <w:bCs w:val="1"/>
          <w:color w:val="auto"/>
        </w:rPr>
        <w:t>Fund Raising Diligence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4.1.1 IMSCP must receive an aggregate of not less than [**] Dollars ($[**]) from one or more financing sources (including the aggregate proceeds of any Qualified Offering conducted to date) prior to [**].</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4.1.2 Prior to [**], IMSCP must receive an aggregate of not less than [**] Dollars ($[**]) from one or more financing sources (including the aggregate proceeds of any Qualified Offering conducted to date).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4.2</w:t>
      </w:r>
      <w:r>
        <w:rPr>
          <w:rFonts w:ascii="Times New Roman" w:cs="Times New Roman" w:eastAsia="Times New Roman" w:hAnsi="Times New Roman"/>
          <w:sz w:val="22"/>
          <w:szCs w:val="22"/>
          <w:b w:val="1"/>
          <w:bCs w:val="1"/>
          <w:color w:val="auto"/>
        </w:rPr>
        <w:t>Research, Development and Commercialization Diligence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Exhibit A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05" w:name="page206"/>
    <w:bookmarkEnd w:id="205"/>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4.2.1 During the Research Period, IMSCP shall use Commercially Reasonable Efforts to Research and Develop a combination TCR-T cell therapy for the treatment of Wilms’ Tumor 1 (WT1) expressing cancers, consisting of (a) a tumor-specific T cell receptor (“</w:t>
      </w:r>
      <w:r>
        <w:rPr>
          <w:rFonts w:ascii="Times New Roman" w:cs="Times New Roman" w:eastAsia="Times New Roman" w:hAnsi="Times New Roman"/>
          <w:sz w:val="22"/>
          <w:szCs w:val="22"/>
          <w:b w:val="1"/>
          <w:bCs w:val="1"/>
          <w:color w:val="auto"/>
        </w:rPr>
        <w:t>TCR</w:t>
      </w:r>
      <w:r>
        <w:rPr>
          <w:rFonts w:ascii="Times New Roman" w:cs="Times New Roman" w:eastAsia="Times New Roman" w:hAnsi="Times New Roman"/>
          <w:sz w:val="22"/>
          <w:szCs w:val="22"/>
          <w:color w:val="auto"/>
        </w:rPr>
        <w:t>”) and (b) a CUE-102 Molecule that selectively targets and modulates such TCR (such therapy, the “</w:t>
      </w:r>
      <w:r>
        <w:rPr>
          <w:rFonts w:ascii="Times New Roman" w:cs="Times New Roman" w:eastAsia="Times New Roman" w:hAnsi="Times New Roman"/>
          <w:sz w:val="22"/>
          <w:szCs w:val="22"/>
          <w:b w:val="1"/>
          <w:bCs w:val="1"/>
          <w:color w:val="auto"/>
        </w:rPr>
        <w:t>WT-1 Combo</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4.2.2 During the Research Period, IMSCP shall use Commercially Reasonable Efforts to conduct IND Enabling Studies on at least [**] CUE-100 Series Subject Molecules.</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4.2.3 During the Term, IMSCP shall use Commercially Reasonable Efforts to Develop, seek and obtain Regulatory Approval for each Licensed Product in at least the United States and [**].</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4.2.4 During the Term, IMSCP shall use Commercially Reasonable Efforts to Commercialize Licensed Products Directed To a target in the Field in each country or region in which Regulatory Approval for the applicable Licensed Product is obtained or achieved.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DEVELOPMENT; COMMERCIALIZATION; INFORMATION SHARING</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5.1</w:t>
      </w: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Subject to and on the terms of this Agreement, as between the Parties, other than activities to be conducted by Cue pursuant to the Transfer Plan, IMSCP shall have the sole right and responsibility, at its cost and expense, to Research, Develop and Commercialize Licensed Molecules and Licensed Products Directed To targets in the Field in the Territory. For avoidance of doubt, Cue shall have no obligation under this Agreement to Research, Develop or Commercialize Licensed Molecules or Licensed Products.</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5.2</w:t>
      </w:r>
      <w:r>
        <w:rPr>
          <w:rFonts w:ascii="Times New Roman" w:cs="Times New Roman" w:eastAsia="Times New Roman" w:hAnsi="Times New Roman"/>
          <w:sz w:val="22"/>
          <w:szCs w:val="22"/>
          <w:b w:val="1"/>
          <w:bCs w:val="1"/>
          <w:color w:val="auto"/>
        </w:rPr>
        <w:t>Reports.</w:t>
      </w:r>
    </w:p>
    <w:p>
      <w:pPr>
        <w:spacing w:after="0" w:line="21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No less frequently than (a) each [**] during the first [**] following the Effective Date, (b) every [**] during the reminder of the Research Period, and (c) [**] of the Term (following expiration of the Research Period), IMSCP shall deliver a written report to Cue that summarizes the status and Development, Research and Commercialization plans for each: (i) IMSCP Potential Product Molecule (during Research Period only), (ii) CUE-100 Series Subject Molecule that is in Active Development (during Research Period only); (iii) Licensed Molecule, and (iv) Licensed Product. At a minimum, each such report shall contain sufficient detail to enable Cue to assess and confirm (A) IMSCP’s compliance with its obligations under Section 4.2 and (B) whether IMSCP has maintained at least [**] CUE-100 Series Subject Molecules in Active Development. Throughout the Term, IMSCP shall promptly notify Cue in writing if IMSCP ceases or postpones its Development activities with respect to any IMSCP Potential Product Molecule, CUE-100 Series Subject Molecule that has entered Active Development, Licensed Molecule, or Licensed Product. Further, until the Second Warrant is issued to Cue, or until IMSCP provides written notice that the second Qualified Offering after the date hereof has been consummated and no Second Warrant is issuable pursuant to Section 7.6.3, the written report required by this Section 5.2 shall include the status of achievement of the diligence obligations set forth in Section 4.1.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06" w:name="page207"/>
    <w:bookmarkEnd w:id="206"/>
    <w:p>
      <w:pPr>
        <w:ind w:left="760"/>
        <w:spacing w:after="0"/>
        <w:rPr>
          <w:sz w:val="20"/>
          <w:szCs w:val="20"/>
          <w:color w:val="auto"/>
        </w:rPr>
      </w:pPr>
      <w:r>
        <w:rPr>
          <w:rFonts w:ascii="Times New Roman" w:cs="Times New Roman" w:eastAsia="Times New Roman" w:hAnsi="Times New Roman"/>
          <w:sz w:val="22"/>
          <w:szCs w:val="22"/>
          <w:color w:val="auto"/>
        </w:rPr>
        <w:t>5.3</w:t>
      </w:r>
      <w:r>
        <w:rPr>
          <w:rFonts w:ascii="Times New Roman" w:cs="Times New Roman" w:eastAsia="Times New Roman" w:hAnsi="Times New Roman"/>
          <w:sz w:val="22"/>
          <w:szCs w:val="22"/>
          <w:b w:val="1"/>
          <w:bCs w:val="1"/>
          <w:color w:val="auto"/>
        </w:rPr>
        <w:t>Joint Information Committee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5.3.1 </w:t>
      </w:r>
      <w:r>
        <w:rPr>
          <w:rFonts w:ascii="Times New Roman" w:cs="Times New Roman" w:eastAsia="Times New Roman" w:hAnsi="Times New Roman"/>
          <w:sz w:val="22"/>
          <w:szCs w:val="22"/>
          <w:b w:val="1"/>
          <w:bCs w:val="1"/>
          <w:color w:val="auto"/>
        </w:rPr>
        <w:t>Formation; Role</w:t>
      </w:r>
      <w:r>
        <w:rPr>
          <w:rFonts w:ascii="Times New Roman" w:cs="Times New Roman" w:eastAsia="Times New Roman" w:hAnsi="Times New Roman"/>
          <w:sz w:val="22"/>
          <w:szCs w:val="22"/>
          <w:color w:val="auto"/>
        </w:rPr>
        <w:t>. Promptly after the Effective Date (but no later than [**] after the Effective Date), the Parties shall form a joint information committee (“</w:t>
      </w:r>
      <w:r>
        <w:rPr>
          <w:rFonts w:ascii="Times New Roman" w:cs="Times New Roman" w:eastAsia="Times New Roman" w:hAnsi="Times New Roman"/>
          <w:sz w:val="22"/>
          <w:szCs w:val="22"/>
          <w:b w:val="1"/>
          <w:bCs w:val="1"/>
          <w:color w:val="auto"/>
        </w:rPr>
        <w:t>JIC</w:t>
      </w:r>
      <w:r>
        <w:rPr>
          <w:rFonts w:ascii="Times New Roman" w:cs="Times New Roman" w:eastAsia="Times New Roman" w:hAnsi="Times New Roman"/>
          <w:sz w:val="22"/>
          <w:szCs w:val="22"/>
          <w:color w:val="auto"/>
        </w:rPr>
        <w:t>”) to serve as a forum for the exchange of information with respect to the CUE-100 Series Subject Molecules during the Research Period, and the Licensed Molecules and Licensed Products during the remainder of the Term. Each Party will bear its own costs associated with participating in the JIC and any subcommittee or working group thereof. For clarity, both Parties acknowledge and agree that Cue’s role on the JIC will be purely advisory.</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5.3.2 </w:t>
      </w:r>
      <w:r>
        <w:rPr>
          <w:rFonts w:ascii="Times New Roman" w:cs="Times New Roman" w:eastAsia="Times New Roman" w:hAnsi="Times New Roman"/>
          <w:sz w:val="22"/>
          <w:szCs w:val="22"/>
          <w:b w:val="1"/>
          <w:bCs w:val="1"/>
          <w:color w:val="auto"/>
        </w:rPr>
        <w:t>Membership</w:t>
      </w:r>
      <w:r>
        <w:rPr>
          <w:rFonts w:ascii="Times New Roman" w:cs="Times New Roman" w:eastAsia="Times New Roman" w:hAnsi="Times New Roman"/>
          <w:sz w:val="22"/>
          <w:szCs w:val="22"/>
          <w:color w:val="auto"/>
        </w:rPr>
        <w:t>. Each Party shall initially appoint [**] employee-representatives to represent such Party at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JIC.</w:t>
      </w:r>
    </w:p>
    <w:p>
      <w:pPr>
        <w:spacing w:after="0" w:line="17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5.3.3 </w:t>
      </w:r>
      <w:r>
        <w:rPr>
          <w:rFonts w:ascii="Times New Roman" w:cs="Times New Roman" w:eastAsia="Times New Roman" w:hAnsi="Times New Roman"/>
          <w:sz w:val="22"/>
          <w:szCs w:val="22"/>
          <w:b w:val="1"/>
          <w:bCs w:val="1"/>
          <w:color w:val="auto"/>
        </w:rPr>
        <w:t>Meetings</w:t>
      </w:r>
      <w:r>
        <w:rPr>
          <w:rFonts w:ascii="Times New Roman" w:cs="Times New Roman" w:eastAsia="Times New Roman" w:hAnsi="Times New Roman"/>
          <w:sz w:val="22"/>
          <w:szCs w:val="22"/>
          <w:color w:val="auto"/>
        </w:rPr>
        <w:t>. Until the [**] of the Effective Date, the JIC will meet at least [**] at a mutually agreed location and time. The JIC may meet by remote conference, or any other method determined by the JIC. The meetings of the JIC shall occur in a format and at a location agreed to by the Parties.</w:t>
      </w:r>
    </w:p>
    <w:p>
      <w:pPr>
        <w:spacing w:after="0" w:line="16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5.3.4 </w:t>
      </w:r>
      <w:r>
        <w:rPr>
          <w:rFonts w:ascii="Times New Roman" w:cs="Times New Roman" w:eastAsia="Times New Roman" w:hAnsi="Times New Roman"/>
          <w:sz w:val="22"/>
          <w:szCs w:val="22"/>
          <w:b w:val="1"/>
          <w:bCs w:val="1"/>
          <w:color w:val="auto"/>
        </w:rPr>
        <w:t>Limitation on Authority</w:t>
      </w:r>
      <w:r>
        <w:rPr>
          <w:rFonts w:ascii="Times New Roman" w:cs="Times New Roman" w:eastAsia="Times New Roman" w:hAnsi="Times New Roman"/>
          <w:sz w:val="22"/>
          <w:szCs w:val="22"/>
          <w:color w:val="auto"/>
        </w:rPr>
        <w:t>. The JIC will have solely the information sharing role assigned to it in Section 5.3.1. The JIC will have no authority to amend, modify or waive compliance with this Agreement or make any decision other than those specifically assigned under this Article 5 to be made by the JIC. The JIC shall not have the authority to alter, or waive compliance by a Party with, a Party’s obligations under this Agreement. For clarity, the JIC shall have no decision-making power with respect to a Party’s activities under this Agreement.</w:t>
      </w:r>
    </w:p>
    <w:p>
      <w:pPr>
        <w:spacing w:after="0" w:line="17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5.4</w:t>
      </w:r>
      <w:r>
        <w:rPr>
          <w:rFonts w:ascii="Times New Roman" w:cs="Times New Roman" w:eastAsia="Times New Roman" w:hAnsi="Times New Roman"/>
          <w:sz w:val="21"/>
          <w:szCs w:val="21"/>
          <w:b w:val="1"/>
          <w:bCs w:val="1"/>
          <w:color w:val="auto"/>
        </w:rPr>
        <w:t>Compliance with Privacy Laws</w:t>
      </w:r>
      <w:r>
        <w:rPr>
          <w:rFonts w:ascii="Times New Roman" w:cs="Times New Roman" w:eastAsia="Times New Roman" w:hAnsi="Times New Roman"/>
          <w:sz w:val="21"/>
          <w:szCs w:val="21"/>
          <w:color w:val="auto"/>
        </w:rPr>
        <w:t>. Upon request by a Party, the other Party shall use Commercially Reasonable Efforts to cooperate with the requesting Party, at its own cost, in enabling the requesting Party to transfer information required to be transferred under this Agreement, or to use information transferred to it under this Agreement in accordance with rights granted to it under this Agreement; provided that, in each case, the activities undertaken by a Party pursuant to the foregoing shall be in compliance with applicable privacy laws and, if requested by a Party, the Parties shall negotiate in good faith and enter into a data protection agreement which shall set forth standard operating procedures governing the transfer of such information.</w:t>
      </w:r>
    </w:p>
    <w:p>
      <w:pPr>
        <w:spacing w:after="0" w:line="16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5.5</w:t>
      </w:r>
      <w:r>
        <w:rPr>
          <w:rFonts w:ascii="Times New Roman" w:cs="Times New Roman" w:eastAsia="Times New Roman" w:hAnsi="Times New Roman"/>
          <w:sz w:val="22"/>
          <w:szCs w:val="22"/>
          <w:b w:val="1"/>
          <w:bCs w:val="1"/>
          <w:color w:val="auto"/>
        </w:rPr>
        <w:t>Regulatory Matters</w:t>
      </w:r>
      <w:r>
        <w:rPr>
          <w:rFonts w:ascii="Times New Roman" w:cs="Times New Roman" w:eastAsia="Times New Roman" w:hAnsi="Times New Roman"/>
          <w:sz w:val="22"/>
          <w:szCs w:val="22"/>
          <w:color w:val="auto"/>
        </w:rPr>
        <w:t>. IMSCP shall have the sole right and responsibility, at its cost and expense, with respect to the preparation and submission of all Regulatory Materials and other regulatory matters for Licensed Molecules in Licensed Products Directed To a target in the Field in the Territory. IMSCP shall keep Cue reasonably informed of its interactions with Regulatory Authorities regarding Regulatory Materials, to the extent such interactions reasonably relate to a Licensed Molecule or Licensed Product; provided, however, that IMSCP, its Affiliates and Sublicensees shall not identify or refer to Cue in any Regulatory Materials or in any correspondence with Regulatory Authorities without Cue’s prior written consent except to the extent required under Applicable Law or required to secure Regulatory Approval for such Licensed Molecule or Licensed Product. IMSCP (on behalf of itself and its Affiliates and Sublicensees) hereby grants to Cue a non-exclusive Right of Reference (including the right to grant further Rights of Reference to any of Cue’s Affiliates, licensees or Third Party distributors) to any such Regulatory Materials, to the extent such Right of Reference is required or reasonably useful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07" w:name="page208"/>
    <w:bookmarkEnd w:id="207"/>
    <w:p>
      <w:pPr>
        <w:jc w:val="both"/>
        <w:spacing w:after="0" w:line="238" w:lineRule="auto"/>
        <w:rPr>
          <w:sz w:val="20"/>
          <w:szCs w:val="20"/>
          <w:color w:val="auto"/>
        </w:rPr>
      </w:pPr>
      <w:r>
        <w:rPr>
          <w:rFonts w:ascii="Times New Roman" w:cs="Times New Roman" w:eastAsia="Times New Roman" w:hAnsi="Times New Roman"/>
          <w:sz w:val="22"/>
          <w:szCs w:val="22"/>
          <w:color w:val="auto"/>
        </w:rPr>
        <w:t>obtain or maintain any Regulatory Approval of a product that is not a Licensed Product Directed To a target in the Field and for the sole purpose of preparing, obtaining and maintaining such Regulatory Approvals and to Exploit such product. Cue (on behalf of itself and its Affiliates and Sublicensees) hereby grants to IMSCP a non-exclusive Right of Reference (including the right to grant further Rights of Reference to any of IMSCP’s Affiliates, licensees or Third Party distributors) to any CUE-101 Molecule or CUE-102 Molecule clinical data that (a) is Controlled by Cue, (b) exists as of the Effective Date, and (c) [**].</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MANUFACTURING AND SUPPLY</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6.1</w:t>
      </w:r>
      <w:r>
        <w:rPr>
          <w:rFonts w:ascii="Times New Roman" w:cs="Times New Roman" w:eastAsia="Times New Roman" w:hAnsi="Times New Roman"/>
          <w:sz w:val="22"/>
          <w:szCs w:val="22"/>
          <w:b w:val="1"/>
          <w:bCs w:val="1"/>
          <w:color w:val="auto"/>
        </w:rPr>
        <w:t>Generally</w:t>
      </w:r>
      <w:r>
        <w:rPr>
          <w:rFonts w:ascii="Times New Roman" w:cs="Times New Roman" w:eastAsia="Times New Roman" w:hAnsi="Times New Roman"/>
          <w:sz w:val="22"/>
          <w:szCs w:val="22"/>
          <w:color w:val="auto"/>
        </w:rPr>
        <w:t>. Subject to and on the terms of this Agreement, as between the Parties, other than the activities to be conducted by Cue pursuant to the Transfer Plan, IMSCP shall have the sole right and responsibility, at its cost and expense, to manufacture Licensed Molecules and Licensed Products Directed To targets in the Field in the Territory.</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6.2</w:t>
      </w:r>
      <w:r>
        <w:rPr>
          <w:rFonts w:ascii="Times New Roman" w:cs="Times New Roman" w:eastAsia="Times New Roman" w:hAnsi="Times New Roman"/>
          <w:sz w:val="22"/>
          <w:szCs w:val="22"/>
          <w:b w:val="1"/>
          <w:bCs w:val="1"/>
          <w:color w:val="auto"/>
        </w:rPr>
        <w:t>Research Samples</w:t>
      </w:r>
      <w:r>
        <w:rPr>
          <w:rFonts w:ascii="Times New Roman" w:cs="Times New Roman" w:eastAsia="Times New Roman" w:hAnsi="Times New Roman"/>
          <w:sz w:val="22"/>
          <w:szCs w:val="22"/>
          <w:color w:val="auto"/>
        </w:rPr>
        <w:t>. At the request of IMSCP, during the Research Period, Cue will use Commercially Reasonable Efforts to transfer to IMSCP the quantity of CUE-102 Molecule specified in the Transfer Plan (“</w:t>
      </w:r>
      <w:r>
        <w:rPr>
          <w:rFonts w:ascii="Times New Roman" w:cs="Times New Roman" w:eastAsia="Times New Roman" w:hAnsi="Times New Roman"/>
          <w:sz w:val="22"/>
          <w:szCs w:val="22"/>
          <w:b w:val="1"/>
          <w:bCs w:val="1"/>
          <w:color w:val="auto"/>
        </w:rPr>
        <w:t>Transferred Product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6.3</w:t>
      </w:r>
      <w:r>
        <w:rPr>
          <w:rFonts w:ascii="Times New Roman" w:cs="Times New Roman" w:eastAsia="Times New Roman" w:hAnsi="Times New Roman"/>
          <w:sz w:val="22"/>
          <w:szCs w:val="22"/>
          <w:b w:val="1"/>
          <w:bCs w:val="1"/>
          <w:color w:val="auto"/>
        </w:rPr>
        <w:t>CMO Introduction</w:t>
      </w:r>
      <w:r>
        <w:rPr>
          <w:rFonts w:ascii="Times New Roman" w:cs="Times New Roman" w:eastAsia="Times New Roman" w:hAnsi="Times New Roman"/>
          <w:sz w:val="22"/>
          <w:szCs w:val="22"/>
          <w:color w:val="auto"/>
        </w:rPr>
        <w:t>. At IMSCP’s request, if IMSCP wishes to manufacture itself, or to have manufactured, CUE-100 Series Subject Molecules (including Licensed Molecules or Licensed Products), Cue will use Commercially Reasonable Efforts to introduce IMSCP to the Third Party contract manufacturing organization (“</w:t>
      </w:r>
      <w:r>
        <w:rPr>
          <w:rFonts w:ascii="Times New Roman" w:cs="Times New Roman" w:eastAsia="Times New Roman" w:hAnsi="Times New Roman"/>
          <w:sz w:val="22"/>
          <w:szCs w:val="22"/>
          <w:b w:val="1"/>
          <w:bCs w:val="1"/>
          <w:color w:val="auto"/>
        </w:rPr>
        <w:t>CMO</w:t>
      </w:r>
      <w:r>
        <w:rPr>
          <w:rFonts w:ascii="Times New Roman" w:cs="Times New Roman" w:eastAsia="Times New Roman" w:hAnsi="Times New Roman"/>
          <w:sz w:val="22"/>
          <w:szCs w:val="22"/>
          <w:color w:val="auto"/>
        </w:rPr>
        <w:t>”) that manufactured such CUE-100 Series Subject Molecule on behalf of Cue prior to the Effective Date. For the avoidance of doubt (a) IMSCP will be under no obligation to use such CMO and may contract with any other CMO in its sole discretion and (b) except as expressly set forth in Section 6.2 or Section 6.3, Cue will be under no obligation to assist IMSCP with any activity relating to the manufacture of any CUE-100 Series Subject Molecule, Licensed Molecule or Licensed Product.</w:t>
      </w:r>
    </w:p>
    <w:p>
      <w:pPr>
        <w:spacing w:after="0" w:line="17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PAYMENTS</w:t>
      </w:r>
    </w:p>
    <w:p>
      <w:pPr>
        <w:sectPr>
          <w:pgSz w:w="11900" w:h="16838" w:orient="portrait"/>
          <w:cols w:equalWidth="0" w:num="1">
            <w:col w:w="11240"/>
          </w:cols>
          <w:pgMar w:left="320" w:top="1273" w:right="339" w:bottom="1440" w:gutter="0" w:footer="0" w:header="0"/>
        </w:sectPr>
      </w:pP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7.1</w:t>
      </w:r>
      <w:r>
        <w:rPr>
          <w:rFonts w:ascii="Times New Roman" w:cs="Times New Roman" w:eastAsia="Times New Roman" w:hAnsi="Times New Roman"/>
          <w:sz w:val="22"/>
          <w:szCs w:val="22"/>
          <w:b w:val="1"/>
          <w:bCs w:val="1"/>
          <w:color w:val="auto"/>
        </w:rPr>
        <w:t>Upfront Payment</w:t>
      </w:r>
      <w:r>
        <w:rPr>
          <w:rFonts w:ascii="Times New Roman" w:cs="Times New Roman" w:eastAsia="Times New Roman" w:hAnsi="Times New Roman"/>
          <w:sz w:val="22"/>
          <w:szCs w:val="22"/>
          <w:color w:val="auto"/>
        </w:rPr>
        <w:t>. pay to Cue a non-refundable, ($14,500,000) as follows: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hanging="53"/>
        <w:spacing w:after="0" w:line="258" w:lineRule="auto"/>
        <w:rPr>
          <w:sz w:val="20"/>
          <w:szCs w:val="20"/>
          <w:color w:val="auto"/>
        </w:rPr>
      </w:pPr>
      <w:r>
        <w:rPr>
          <w:rFonts w:ascii="Times New Roman" w:cs="Times New Roman" w:eastAsia="Times New Roman" w:hAnsi="Times New Roman"/>
          <w:sz w:val="22"/>
          <w:szCs w:val="22"/>
          <w:color w:val="auto"/>
        </w:rPr>
        <w:t>In partial consideration for those rights granted to IMSCP under this Agreement, IMSCP shall non-creditable, upfront payment equal to fourteen million five hundred thousand Dollars</w:t>
      </w:r>
    </w:p>
    <w:p>
      <w:pPr>
        <w:spacing w:after="0" w:line="401" w:lineRule="exact"/>
        <w:rPr>
          <w:sz w:val="20"/>
          <w:szCs w:val="20"/>
          <w:color w:val="auto"/>
        </w:rPr>
      </w:pPr>
    </w:p>
    <w:p>
      <w:pPr>
        <w:sectPr>
          <w:pgSz w:w="11900" w:h="16838" w:orient="portrait"/>
          <w:cols w:equalWidth="0" w:num="2">
            <w:col w:w="2780" w:space="120"/>
            <w:col w:w="8340"/>
          </w:cols>
          <w:pgMar w:left="320" w:top="1273" w:right="339" w:bottom="1440" w:gutter="0" w:footer="0" w:header="0"/>
          <w:type w:val="continuous"/>
        </w:sect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7.1.1 IMSCP shall pay to Cue an amount equal to four million five hundred thousand Dollars ($4,500,000) on the Effective Date; and</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7.1.2 IMSCP shall pay to Cue an amount equal to five million Dollars ($5,000,000) due no later than December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2025 (“</w:t>
      </w:r>
      <w:r>
        <w:rPr>
          <w:rFonts w:ascii="Times New Roman" w:cs="Times New Roman" w:eastAsia="Times New Roman" w:hAnsi="Times New Roman"/>
          <w:sz w:val="22"/>
          <w:szCs w:val="22"/>
          <w:b w:val="1"/>
          <w:bCs w:val="1"/>
          <w:color w:val="auto"/>
        </w:rPr>
        <w:t>Closing Payment</w:t>
      </w:r>
      <w:r>
        <w:rPr>
          <w:rFonts w:ascii="Times New Roman" w:cs="Times New Roman" w:eastAsia="Times New Roman" w:hAnsi="Times New Roman"/>
          <w:sz w:val="22"/>
          <w:szCs w:val="22"/>
          <w:color w:val="auto"/>
        </w:rPr>
        <w:t>”); and</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7.1.3 IMSCP shall pay to Cue an amount equal to the sum of (a) five million Dollars ($5,000,000) and (b) the Withholding Amount, if any (as determined pursuant to Section 7.11) on or before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anniversary of the Effective Date (collectively, the “</w:t>
      </w:r>
      <w:r>
        <w:rPr>
          <w:rFonts w:ascii="Times New Roman" w:cs="Times New Roman" w:eastAsia="Times New Roman" w:hAnsi="Times New Roman"/>
          <w:sz w:val="22"/>
          <w:szCs w:val="22"/>
          <w:b w:val="1"/>
          <w:bCs w:val="1"/>
          <w:color w:val="auto"/>
        </w:rPr>
        <w:t>Upfront Payments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type w:val="continuous"/>
        </w:sectPr>
      </w:pPr>
    </w:p>
    <w:bookmarkStart w:id="208" w:name="page209"/>
    <w:bookmarkEnd w:id="208"/>
    <w:p>
      <w:pPr>
        <w:ind w:left="760"/>
        <w:spacing w:after="0"/>
        <w:rPr>
          <w:sz w:val="20"/>
          <w:szCs w:val="20"/>
          <w:color w:val="auto"/>
        </w:rPr>
      </w:pPr>
      <w:r>
        <w:rPr>
          <w:rFonts w:ascii="Times New Roman" w:cs="Times New Roman" w:eastAsia="Times New Roman" w:hAnsi="Times New Roman"/>
          <w:sz w:val="22"/>
          <w:szCs w:val="22"/>
          <w:color w:val="auto"/>
        </w:rPr>
        <w:t>7.2</w:t>
      </w:r>
      <w:r>
        <w:rPr>
          <w:rFonts w:ascii="Times New Roman" w:cs="Times New Roman" w:eastAsia="Times New Roman" w:hAnsi="Times New Roman"/>
          <w:sz w:val="22"/>
          <w:szCs w:val="22"/>
          <w:b w:val="1"/>
          <w:bCs w:val="1"/>
          <w:color w:val="auto"/>
        </w:rPr>
        <w:t>Payments for Cue’s Activities Under the Transfer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7.2.1 </w:t>
      </w:r>
      <w:r>
        <w:rPr>
          <w:rFonts w:ascii="Times New Roman" w:cs="Times New Roman" w:eastAsia="Times New Roman" w:hAnsi="Times New Roman"/>
          <w:sz w:val="22"/>
          <w:szCs w:val="22"/>
          <w:b w:val="1"/>
          <w:bCs w:val="1"/>
          <w:color w:val="auto"/>
        </w:rPr>
        <w:t>Fees.</w:t>
      </w:r>
      <w:r>
        <w:rPr>
          <w:rFonts w:ascii="Times New Roman" w:cs="Times New Roman" w:eastAsia="Times New Roman" w:hAnsi="Times New Roman"/>
          <w:sz w:val="22"/>
          <w:szCs w:val="22"/>
          <w:color w:val="auto"/>
        </w:rPr>
        <w:t xml:space="preserve"> In consideration for Cue’s performance of the Transfer Activities and provision of the Deliverables (to the extent requested by IMSCP pursuant to Section 2.1) IMSCP shall pay Cue the amounts specified in the Transfer Plan (collectively, “</w:t>
      </w:r>
      <w:r>
        <w:rPr>
          <w:rFonts w:ascii="Times New Roman" w:cs="Times New Roman" w:eastAsia="Times New Roman" w:hAnsi="Times New Roman"/>
          <w:sz w:val="22"/>
          <w:szCs w:val="22"/>
          <w:b w:val="1"/>
          <w:bCs w:val="1"/>
          <w:color w:val="auto"/>
        </w:rPr>
        <w:t>Transfer Fees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7.2.2 </w:t>
      </w:r>
      <w:r>
        <w:rPr>
          <w:rFonts w:ascii="Times New Roman" w:cs="Times New Roman" w:eastAsia="Times New Roman" w:hAnsi="Times New Roman"/>
          <w:sz w:val="22"/>
          <w:szCs w:val="22"/>
          <w:b w:val="1"/>
          <w:bCs w:val="1"/>
          <w:color w:val="auto"/>
        </w:rPr>
        <w:t>Invoicing</w:t>
      </w:r>
      <w:r>
        <w:rPr>
          <w:rFonts w:ascii="Times New Roman" w:cs="Times New Roman" w:eastAsia="Times New Roman" w:hAnsi="Times New Roman"/>
          <w:sz w:val="22"/>
          <w:szCs w:val="22"/>
          <w:color w:val="auto"/>
        </w:rPr>
        <w:t>. Cue will invoice IMSCP for Transfer Fees on a [**] basis, as Transfer Activities are performed and as Deliverables are provided to IMSCP. IMSCP shall pay all invoices for Transfer Fees within [**] of receipt of invoice.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7.3</w:t>
      </w:r>
      <w:r>
        <w:rPr>
          <w:rFonts w:ascii="Times New Roman" w:cs="Times New Roman" w:eastAsia="Times New Roman" w:hAnsi="Times New Roman"/>
          <w:sz w:val="22"/>
          <w:szCs w:val="22"/>
          <w:b w:val="1"/>
          <w:bCs w:val="1"/>
          <w:color w:val="auto"/>
        </w:rPr>
        <w:t>Royalties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7.3.1 </w:t>
      </w:r>
      <w:r>
        <w:rPr>
          <w:rFonts w:ascii="Times New Roman" w:cs="Times New Roman" w:eastAsia="Times New Roman" w:hAnsi="Times New Roman"/>
          <w:sz w:val="22"/>
          <w:szCs w:val="22"/>
          <w:b w:val="1"/>
          <w:bCs w:val="1"/>
          <w:color w:val="auto"/>
        </w:rPr>
        <w:t>Royalty Payments</w:t>
      </w:r>
      <w:r>
        <w:rPr>
          <w:rFonts w:ascii="Times New Roman" w:cs="Times New Roman" w:eastAsia="Times New Roman" w:hAnsi="Times New Roman"/>
          <w:sz w:val="22"/>
          <w:szCs w:val="22"/>
          <w:color w:val="auto"/>
        </w:rPr>
        <w:t>. On a Licensed Product-by-Licensed Product and country-by-country basis, during the applicable Royalty Term, IMSCP shall pay to Cue a running royalty equal to [**] percent ([**]%) of Net Sales of such Licensed Product in such country.</w:t>
      </w:r>
    </w:p>
    <w:p>
      <w:pPr>
        <w:spacing w:after="0" w:line="16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7.3.2 </w:t>
      </w:r>
      <w:r>
        <w:rPr>
          <w:rFonts w:ascii="Times New Roman" w:cs="Times New Roman" w:eastAsia="Times New Roman" w:hAnsi="Times New Roman"/>
          <w:sz w:val="22"/>
          <w:szCs w:val="22"/>
          <w:b w:val="1"/>
          <w:bCs w:val="1"/>
          <w:color w:val="auto"/>
        </w:rPr>
        <w:t>Royalty Reductions for Third Party Payments</w:t>
      </w:r>
      <w:r>
        <w:rPr>
          <w:rFonts w:ascii="Times New Roman" w:cs="Times New Roman" w:eastAsia="Times New Roman" w:hAnsi="Times New Roman"/>
          <w:sz w:val="22"/>
          <w:szCs w:val="22"/>
          <w:color w:val="auto"/>
        </w:rPr>
        <w:t>. If, after the Effective Date, IMSCP or any of its Affiliates obtains a license from any Third Party under Patents owned or controlled by such Third Party that would, absent such a right or license, be infringed by the making, having made, using, keeping, importing, exporting, offering for sale, sale, or other exploitation of a Licensed Product in the Field in the Territory, then IMSCP will be entitled to deduct [**] percent ([**]%) (subject to the floor in Section 7.3.4) of any royalty payments paid by IMSCP or its Affiliates to such Third Party under such license for a given Calendar Quarter, from the royalties otherwise payable under Section 7.3.1 with respect to such Licensed Product in such country during such same Calendar Quarter.</w:t>
      </w:r>
    </w:p>
    <w:p>
      <w:pPr>
        <w:spacing w:after="0" w:line="17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7.3.3 </w:t>
      </w:r>
      <w:r>
        <w:rPr>
          <w:rFonts w:ascii="Times New Roman" w:cs="Times New Roman" w:eastAsia="Times New Roman" w:hAnsi="Times New Roman"/>
          <w:sz w:val="22"/>
          <w:szCs w:val="22"/>
          <w:b w:val="1"/>
          <w:bCs w:val="1"/>
          <w:color w:val="auto"/>
        </w:rPr>
        <w:t>Know-How Royalty Reduction</w:t>
      </w:r>
      <w:r>
        <w:rPr>
          <w:rFonts w:ascii="Times New Roman" w:cs="Times New Roman" w:eastAsia="Times New Roman" w:hAnsi="Times New Roman"/>
          <w:sz w:val="22"/>
          <w:szCs w:val="22"/>
          <w:color w:val="auto"/>
        </w:rPr>
        <w:t>. For any period during the applicable Royalty Term in which the sale of a Licensed Product is not Covered by a Valid Claim of the Cue Patents in the country of sale, the royalty rate with respect to Net Sales of such Licensed Product for the remainder of the applicable Royalty Term shall be reduced by [**] percent ([**]%) (subject to the floor in Section 7.3.4).</w:t>
      </w:r>
    </w:p>
    <w:p>
      <w:pPr>
        <w:spacing w:after="0" w:line="172"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7.3.4 </w:t>
      </w:r>
      <w:r>
        <w:rPr>
          <w:rFonts w:ascii="Times New Roman" w:cs="Times New Roman" w:eastAsia="Times New Roman" w:hAnsi="Times New Roman"/>
          <w:sz w:val="22"/>
          <w:szCs w:val="22"/>
          <w:b w:val="1"/>
          <w:bCs w:val="1"/>
          <w:color w:val="auto"/>
        </w:rPr>
        <w:t>Cumulative Floor on Royalty Reductions</w:t>
      </w:r>
      <w:r>
        <w:rPr>
          <w:rFonts w:ascii="Times New Roman" w:cs="Times New Roman" w:eastAsia="Times New Roman" w:hAnsi="Times New Roman"/>
          <w:sz w:val="22"/>
          <w:szCs w:val="22"/>
          <w:color w:val="auto"/>
        </w:rPr>
        <w:t>. Notwithstanding any provision of this Agreement to the contrary, including Sections 7.3.2 and 7.3.3, in no circumstances will the royalties payable to Cue with respect to any Licensed Product in any Calendar Quarter be reduced below [**] percent ([**]%) of the royalties otherwise payable with respect to such Licensed Product without the application of any reductions; [**].</w:t>
      </w:r>
    </w:p>
    <w:p>
      <w:pPr>
        <w:spacing w:after="0" w:line="172"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7.3.5 </w:t>
      </w:r>
      <w:r>
        <w:rPr>
          <w:rFonts w:ascii="Times New Roman" w:cs="Times New Roman" w:eastAsia="Times New Roman" w:hAnsi="Times New Roman"/>
          <w:sz w:val="22"/>
          <w:szCs w:val="22"/>
          <w:b w:val="1"/>
          <w:bCs w:val="1"/>
          <w:color w:val="auto"/>
        </w:rPr>
        <w:t>Royalty Report</w:t>
      </w:r>
      <w:r>
        <w:rPr>
          <w:rFonts w:ascii="Times New Roman" w:cs="Times New Roman" w:eastAsia="Times New Roman" w:hAnsi="Times New Roman"/>
          <w:sz w:val="22"/>
          <w:szCs w:val="22"/>
          <w:color w:val="auto"/>
        </w:rPr>
        <w:t>. Within [**] following the end of each Calendar Quarter (or portion thereof) after the First Commercial Sale of the first Licensed Product, IMSCP shall provide to Cue a written, good-faith estimate, on a Licensed Product-by-Licensed Product basis, of Net Sales in the Territory during the preceding Calendar Quarter and the royalties payable by IMSCP to Cue pursuant to Section 7.3 in accordance with Accounting Standards. IMSCP shall make all royalty payments payable under this Section 7.3 within [**] after the close of the Calendar Quarter during which the corresponding Net Sales accrue. Each payment of royalties shall be accompanied by a royalty report providing a statement, on a Licensed Product-by-Licensed Product and country-by-country basis, of: (a) gross sales and Net Sales of Licensed Products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09" w:name="page210"/>
    <w:bookmarkEnd w:id="209"/>
    <w:p>
      <w:pPr>
        <w:jc w:val="both"/>
        <w:spacing w:after="0" w:line="236" w:lineRule="auto"/>
        <w:rPr>
          <w:sz w:val="20"/>
          <w:szCs w:val="20"/>
          <w:color w:val="auto"/>
        </w:rPr>
      </w:pPr>
      <w:r>
        <w:rPr>
          <w:rFonts w:ascii="Times New Roman" w:cs="Times New Roman" w:eastAsia="Times New Roman" w:hAnsi="Times New Roman"/>
          <w:sz w:val="22"/>
          <w:szCs w:val="22"/>
          <w:color w:val="auto"/>
        </w:rPr>
        <w:t>the Territory during the applicable Calendar Quarter, (b) a calculation of the amount of royalty payment due in Dollars on such Net Sales for such Calendar Quarter (including, on an itemized basis, any deductions or reductions made in calculating such Net Sales or such royalty payment), (c) total royalty amounts payable, and (d) any other information required under Section 7.03 of the [**] License Agreement. If no royalties are payable for a given Licensed Product for a given Calendar Quarter occurring after First Commercial Sale of such Licensed Product, IMSCP shall submit a royalty report so indicating for such Licensed Product.</w:t>
      </w:r>
    </w:p>
    <w:p>
      <w:pPr>
        <w:spacing w:after="0" w:line="17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7.3.6 </w:t>
      </w:r>
      <w:r>
        <w:rPr>
          <w:rFonts w:ascii="Times New Roman" w:cs="Times New Roman" w:eastAsia="Times New Roman" w:hAnsi="Times New Roman"/>
          <w:sz w:val="22"/>
          <w:szCs w:val="22"/>
          <w:b w:val="1"/>
          <w:bCs w:val="1"/>
          <w:color w:val="auto"/>
        </w:rPr>
        <w:t>Effects of Patent Challenge on Royalties</w:t>
      </w:r>
      <w:r>
        <w:rPr>
          <w:rFonts w:ascii="Times New Roman" w:cs="Times New Roman" w:eastAsia="Times New Roman" w:hAnsi="Times New Roman"/>
          <w:sz w:val="22"/>
          <w:szCs w:val="22"/>
          <w:color w:val="auto"/>
        </w:rPr>
        <w:t>. Except to the extent unenforceable under Applicable Law, if IMSCP, or any of its Affiliates or Sublicensees, takes any action directly or indirectly, or assists a Third Party in taking any action (including by knowingly providing financial or other assistance, including legal or technical advice (including Confidential Information of Cue), directly or indirectly, to any Third Party), to challenge the validity, enforceability, scope or ownership of any Cue Patents in any court or tribunal or any patent office in a jurisdiction, or in any proceeding, including in connection with a proceeding before a patent office or other administrative agency (each, a “</w:t>
      </w:r>
      <w:r>
        <w:rPr>
          <w:rFonts w:ascii="Times New Roman" w:cs="Times New Roman" w:eastAsia="Times New Roman" w:hAnsi="Times New Roman"/>
          <w:sz w:val="22"/>
          <w:szCs w:val="22"/>
          <w:b w:val="1"/>
          <w:bCs w:val="1"/>
          <w:color w:val="auto"/>
        </w:rPr>
        <w:t>Patent Challenge</w:t>
      </w:r>
      <w:r>
        <w:rPr>
          <w:rFonts w:ascii="Times New Roman" w:cs="Times New Roman" w:eastAsia="Times New Roman" w:hAnsi="Times New Roman"/>
          <w:sz w:val="22"/>
          <w:szCs w:val="22"/>
          <w:color w:val="auto"/>
        </w:rPr>
        <w:t>”), then IMSCP shall continue to pay to Cue any and all royalty payments otherwise due hereunder in accordance with this Section 7.3 during the pendency of such Patent Challenge. Should the outcome of a Patent Challenge determine that any claim included in the challenged Cue Patent(s) is valid and enforceable against a Licensed Product, IMSCP will thereafter (i) pay to Cue the royalty payments otherwise due hereunder at the rate of [**] times the applicable rate for all Licensed Products and (ii) reimburse Cue for all costs incurred by Cue in connection with the applicable legal proceedings, including all attorney’s fees. Notwithstanding any provision of this Agreement to the contrary, this Section 7.3.6 shall not apply with respect to a Patent Challenge that IMSCP, or any of its Affiliates or Sublicensees, raises as a defense to a suit or proceeding initiated by Cue or its Affiliates.</w:t>
      </w:r>
    </w:p>
    <w:p>
      <w:pPr>
        <w:spacing w:after="0" w:line="18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color w:val="auto"/>
        </w:rPr>
        <w:t>License Agreement Payment Obligations</w:t>
      </w:r>
      <w:r>
        <w:rPr>
          <w:rFonts w:ascii="Times New Roman" w:cs="Times New Roman" w:eastAsia="Times New Roman" w:hAnsi="Times New Roman"/>
          <w:sz w:val="22"/>
          <w:szCs w:val="22"/>
          <w:color w:val="auto"/>
        </w:rPr>
        <w:t>. Cue shall be solely responsible to pay all consideration owed to its licensors under the [**] License Agreement.</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7.5</w:t>
      </w:r>
      <w:r>
        <w:rPr>
          <w:rFonts w:ascii="Times New Roman" w:cs="Times New Roman" w:eastAsia="Times New Roman" w:hAnsi="Times New Roman"/>
          <w:sz w:val="22"/>
          <w:szCs w:val="22"/>
          <w:b w:val="1"/>
          <w:bCs w:val="1"/>
          <w:color w:val="auto"/>
        </w:rPr>
        <w:t>Sublicense Fees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7.5.1 Within [**] of receipt of any Non-Royalty Sublicense Fees, IMSCP shall pay Cue [**] percent ([**]%) of such Non-Royalty Sublicense Fees.</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7.5.2 Within [**] of receipt of any Royalty Sublicense Fees, IMSCP shall pay Cue [**] percent ([**]%) of such Royalty Sublicense Fees.</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7.5.3 Notwithstanding any provision of this Agreement to the contrary, in no event will the aggregate amount of Royalty Sublicense Fees due to Cue be less than [**] percent ([**]%) of such Sublicensee’s Net Sales (Net Sales shall apply </w:t>
      </w:r>
      <w:r>
        <w:rPr>
          <w:rFonts w:ascii="Times New Roman" w:cs="Times New Roman" w:eastAsia="Times New Roman" w:hAnsi="Times New Roman"/>
          <w:sz w:val="22"/>
          <w:szCs w:val="22"/>
          <w:i w:val="1"/>
          <w:iCs w:val="1"/>
          <w:color w:val="auto"/>
        </w:rPr>
        <w:t xml:space="preserve">mutatis mutandis </w:t>
      </w:r>
      <w:r>
        <w:rPr>
          <w:rFonts w:ascii="Times New Roman" w:cs="Times New Roman" w:eastAsia="Times New Roman" w:hAnsi="Times New Roman"/>
          <w:sz w:val="22"/>
          <w:szCs w:val="22"/>
          <w:color w:val="auto"/>
        </w:rPr>
        <w:t>to the gross amount invoiced by Sublicensees for the sale or disposition of Licensed Products), irrespective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of the royalty rate, royalty reductions, royalty offsets or any other reductions or deductions included in the applicable sublicense.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7.6</w:t>
      </w:r>
      <w:r>
        <w:rPr>
          <w:rFonts w:ascii="Times New Roman" w:cs="Times New Roman" w:eastAsia="Times New Roman" w:hAnsi="Times New Roman"/>
          <w:sz w:val="22"/>
          <w:szCs w:val="22"/>
          <w:b w:val="1"/>
          <w:bCs w:val="1"/>
          <w:color w:val="auto"/>
        </w:rPr>
        <w:t>Equity Grant; Related Rights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10" w:name="page211"/>
    <w:bookmarkEnd w:id="210"/>
    <w:p>
      <w:pPr>
        <w:jc w:val="both"/>
        <w:ind w:firstLine="1497"/>
        <w:spacing w:after="0" w:line="255" w:lineRule="auto"/>
        <w:rPr>
          <w:sz w:val="20"/>
          <w:szCs w:val="20"/>
          <w:color w:val="auto"/>
        </w:rPr>
      </w:pPr>
      <w:r>
        <w:rPr>
          <w:rFonts w:ascii="Times New Roman" w:cs="Times New Roman" w:eastAsia="Times New Roman" w:hAnsi="Times New Roman"/>
          <w:sz w:val="21"/>
          <w:szCs w:val="21"/>
          <w:color w:val="auto"/>
        </w:rPr>
        <w:t>7.6.1 On the Effective Date, as partial consideration for the Licenses granted hereunder, IMSCP shall issue Cue that number of its ordinary shares that is equal to at least forty percent (40%) of the issued and outstanding ordinary shares and preference shares of IMSCP, calculated immediately following the issuance to Cue. In connection therewith, Cue shall execute and deliver counterpart signature pages to, and will become bound by, the applicable stockholder agreements of IMSCP.</w:t>
      </w:r>
    </w:p>
    <w:p>
      <w:pPr>
        <w:spacing w:after="0" w:line="162"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7.6.2 Upon the earlier of the Closing of the first Qualified Offering that occurs after the date hereof or a Change of Control of IMSCP, as partial consideration for the Licenses granted hereunder, IMSCP shall issue Cue a warrant to purchase IMSCP’s ordinary shares in the form attached hereto as Exhibit 7.6.2 (the “</w:t>
      </w:r>
      <w:r>
        <w:rPr>
          <w:rFonts w:ascii="Times New Roman" w:cs="Times New Roman" w:eastAsia="Times New Roman" w:hAnsi="Times New Roman"/>
          <w:sz w:val="22"/>
          <w:szCs w:val="22"/>
          <w:b w:val="1"/>
          <w:bCs w:val="1"/>
          <w:color w:val="auto"/>
        </w:rPr>
        <w:t>First Warrant</w:t>
      </w:r>
      <w:r>
        <w:rPr>
          <w:rFonts w:ascii="Times New Roman" w:cs="Times New Roman" w:eastAsia="Times New Roman" w:hAnsi="Times New Roman"/>
          <w:sz w:val="22"/>
          <w:szCs w:val="22"/>
          <w:color w:val="auto"/>
        </w:rPr>
        <w:t xml:space="preserve">”). The First Warrant shall be exercisable for that number of ordinary shares as is equal (a) to forty percent (40%) of the Fully-Diluted Capitalization of IMSCP </w:t>
      </w:r>
      <w:r>
        <w:rPr>
          <w:rFonts w:ascii="Times New Roman" w:cs="Times New Roman" w:eastAsia="Times New Roman" w:hAnsi="Times New Roman"/>
          <w:sz w:val="22"/>
          <w:szCs w:val="22"/>
          <w:i w:val="1"/>
          <w:iCs w:val="1"/>
          <w:color w:val="auto"/>
        </w:rPr>
        <w:t xml:space="preserve">minus </w:t>
      </w:r>
      <w:r>
        <w:rPr>
          <w:rFonts w:ascii="Times New Roman" w:cs="Times New Roman" w:eastAsia="Times New Roman" w:hAnsi="Times New Roman"/>
          <w:sz w:val="22"/>
          <w:szCs w:val="22"/>
          <w:color w:val="auto"/>
        </w:rPr>
        <w:t>(b) the number of ordinary shares then owned, or transferred by Cue, calculated immediately following the issuance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First Warrant to Cue.</w:t>
      </w:r>
    </w:p>
    <w:p>
      <w:pPr>
        <w:spacing w:after="0" w:line="18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7.6.3 Upon the earlier of the closing of a second Qualified Offering after the date hereof or a Change of Control of IMSCP, as partial consideration for the Licenses granted hereunder, IMSCP shall issue Cue an additional warrant to purchase IMSCP’s ordinary shares in form attached hereto as Exhibit 7.6.3 (the “</w:t>
      </w:r>
      <w:r>
        <w:rPr>
          <w:rFonts w:ascii="Times New Roman" w:cs="Times New Roman" w:eastAsia="Times New Roman" w:hAnsi="Times New Roman"/>
          <w:sz w:val="22"/>
          <w:szCs w:val="22"/>
          <w:b w:val="1"/>
          <w:bCs w:val="1"/>
          <w:color w:val="auto"/>
        </w:rPr>
        <w:t>Second Warrant</w:t>
      </w:r>
      <w:r>
        <w:rPr>
          <w:rFonts w:ascii="Times New Roman" w:cs="Times New Roman" w:eastAsia="Times New Roman" w:hAnsi="Times New Roman"/>
          <w:sz w:val="22"/>
          <w:szCs w:val="22"/>
          <w:color w:val="auto"/>
        </w:rPr>
        <w:t>”). The Second Warrant shall be exercisable for that number of ordinary shares as is equal to (a) twenty percent (20%) of the Fully-Diluted Capitalization of IMSCP minus (b) the number of ordinary shares then owned by Cue and the number of shares for which the First Warrant is then-exercisable, calculated immediately following the issuance of the Second Warrant to Cue. For the avoidance of doubt, if the applicable number of ordinary shares exercisable under the Second Warrant as set forth above is less than or equal to zero, no Second Warrant will be issued.</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7.6.4 For the [**] of the Term and thereafter so long as Cue continues to own least [**]% of the total issued and outstanding ordinary shares and preference shares of IMSCP or unless otherwise mutually agreed by the Parties in writing, it shall have the right to appoint [**] of the board of directors of IMSCP (the “</w:t>
      </w:r>
      <w:r>
        <w:rPr>
          <w:rFonts w:ascii="Times New Roman" w:cs="Times New Roman" w:eastAsia="Times New Roman" w:hAnsi="Times New Roman"/>
          <w:sz w:val="22"/>
          <w:szCs w:val="22"/>
          <w:b w:val="1"/>
          <w:bCs w:val="1"/>
          <w:color w:val="auto"/>
        </w:rPr>
        <w:t>Cue Director</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7.6.5 For so long as Cue continues to own least [**]% of the total issued and outstanding ordinary shares and preference shares of IMSCP or unless otherwise mutually agreed by the Parties in writing, the size of the board of directors of IMSCP shall be not less than [**] members and there shall be at least [**] of the board of directors of IMSCP that is not affiliated with IMSCP, any of the other members of board of directors of IMSCP, any of the members of management of IMSCP, or any investor or significant shareholder of IMSCP (the “</w:t>
      </w:r>
      <w:r>
        <w:rPr>
          <w:rFonts w:ascii="Times New Roman" w:cs="Times New Roman" w:eastAsia="Times New Roman" w:hAnsi="Times New Roman"/>
          <w:sz w:val="22"/>
          <w:szCs w:val="22"/>
          <w:b w:val="1"/>
          <w:bCs w:val="1"/>
          <w:color w:val="auto"/>
        </w:rPr>
        <w:t>Applicable Independent Director</w:t>
      </w:r>
      <w:r>
        <w:rPr>
          <w:rFonts w:ascii="Times New Roman" w:cs="Times New Roman" w:eastAsia="Times New Roman" w:hAnsi="Times New Roman"/>
          <w:sz w:val="22"/>
          <w:szCs w:val="22"/>
          <w:color w:val="auto"/>
        </w:rPr>
        <w:t>”). The consent of the Cue Director shall be required for the election or appointment of the Applicable Independent Director.</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7.6.6 During the Term of this Agreement, Cue shall have the right to appoint [**] to the scientific advisory board, or other similar committee or board of advisors, of IMSCP.</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7.6.7 For so long as Cue continues to own least [**]% of the total issued and outstanding ordinary shares and preference shares of IMSCP, IMSCP shall deliver to Cue: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11" w:name="page212"/>
    <w:bookmarkEnd w:id="211"/>
    <w:p>
      <w:pPr>
        <w:jc w:val="both"/>
        <w:ind w:firstLine="2254"/>
        <w:spacing w:after="0" w:line="245" w:lineRule="auto"/>
        <w:tabs>
          <w:tab w:leader="none" w:pos="2546"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practical, but in any event within [**] after the end of each fiscal year of IMSCP, (i) a balance sheet as of the end of such year, (ii) statements of income and of cash flows for such year, and a comparison between (x) the actual amounts for such fiscal year and (y) the comparable amounts for the prior year, and (iii) a statement of shareholders’ equity as of the end of such year, all such financial statements audited and certified by independent public accountants of nationally recognized standing selected by IMSCP, and (iv) a statement showing (A) the number of ordinary shares, preference shares, and each series thereof (and any other class or series of capital stock, as applicable) and securities convertible into or exercisable for ordinary shares, preference shares, or other shares of capital stock at the end of such year, (B) the ordinary shares issuable upon conversion or exercise of any outstanding securities convertible or exercisable for ordinary shares and the exchange ratio or exercise price applicable thereto, and (C) the number of ordinary shares subject to issued stock options and stock options not yet issued but reserved for issuance, if any, all in sufficient detail as to permit Cue to calculate its percentage equity ownership of IMSCP, and certified by the chief financial officer or chief executive officer of IMSCP as being true, complete, and correct (the statements described in this clause (iv), the “</w:t>
      </w:r>
      <w:r>
        <w:rPr>
          <w:rFonts w:ascii="Times New Roman" w:cs="Times New Roman" w:eastAsia="Times New Roman" w:hAnsi="Times New Roman"/>
          <w:sz w:val="21"/>
          <w:szCs w:val="21"/>
          <w:b w:val="1"/>
          <w:bCs w:val="1"/>
          <w:color w:val="auto"/>
        </w:rPr>
        <w:t>Capitalization Statements</w:t>
      </w:r>
      <w:r>
        <w:rPr>
          <w:rFonts w:ascii="Times New Roman" w:cs="Times New Roman" w:eastAsia="Times New Roman" w:hAnsi="Times New Roman"/>
          <w:sz w:val="21"/>
          <w:szCs w:val="21"/>
          <w:color w:val="auto"/>
        </w:rPr>
        <w:t>”) as of the end of such year;</w:t>
      </w:r>
    </w:p>
    <w:p>
      <w:pPr>
        <w:spacing w:after="0" w:line="173" w:lineRule="exact"/>
        <w:rPr>
          <w:rFonts w:ascii="Times New Roman" w:cs="Times New Roman" w:eastAsia="Times New Roman" w:hAnsi="Times New Roman"/>
          <w:sz w:val="21"/>
          <w:szCs w:val="21"/>
          <w:color w:val="auto"/>
        </w:rPr>
      </w:pPr>
    </w:p>
    <w:p>
      <w:pPr>
        <w:jc w:val="both"/>
        <w:ind w:firstLine="2254"/>
        <w:spacing w:after="0" w:line="241" w:lineRule="auto"/>
        <w:tabs>
          <w:tab w:leader="none" w:pos="2546"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practical, but in any event within [**] after the end of each fiscal quarter of IMSCP, (i) an unaudited balance sheet as of the end of such quarter, (ii) unaudited statements of income and of cash flows for such quarter</w:t>
      </w:r>
    </w:p>
    <w:p>
      <w:pPr>
        <w:spacing w:after="0" w:line="1" w:lineRule="exact"/>
        <w:rPr>
          <w:rFonts w:ascii="Times New Roman" w:cs="Times New Roman" w:eastAsia="Times New Roman" w:hAnsi="Times New Roman"/>
          <w:sz w:val="22"/>
          <w:szCs w:val="22"/>
          <w:color w:val="auto"/>
        </w:rPr>
      </w:pPr>
    </w:p>
    <w:p>
      <w:pPr>
        <w:ind w:right="20" w:firstLine="8"/>
        <w:spacing w:after="0" w:line="237" w:lineRule="auto"/>
        <w:tabs>
          <w:tab w:leader="none" w:pos="38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unaudited statement of stockholders’ equity as of the end of such quarter and (iv) the Capitalization Statements as of the end of such quarter; and</w:t>
      </w:r>
    </w:p>
    <w:p>
      <w:pPr>
        <w:spacing w:after="0" w:line="178" w:lineRule="exact"/>
        <w:rPr>
          <w:rFonts w:ascii="Times New Roman" w:cs="Times New Roman" w:eastAsia="Times New Roman" w:hAnsi="Times New Roman"/>
          <w:sz w:val="22"/>
          <w:szCs w:val="22"/>
          <w:color w:val="auto"/>
        </w:rPr>
      </w:pPr>
    </w:p>
    <w:p>
      <w:pPr>
        <w:jc w:val="both"/>
        <w:ind w:firstLine="2254"/>
        <w:spacing w:after="0" w:line="247" w:lineRule="auto"/>
        <w:tabs>
          <w:tab w:leader="none" w:pos="2546"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notification of any significant transaction(s) or event(s) that could be reasonably expected to have a material impact on the value of Cue’s equity holdings in IMSCP with respect to the following: (i) any issuance, repurchase, or redemption of IMSCP’s equity securities, (ii) any change to IMSCP’s capital structure or voting rights of any class of shares, (iii) any material change in IMSCP’s outstanding debt obligations, (iv) any merger, consolidation, sale of assets, or similar strategic transaction, or (v) major progress or setback in a research or clinical development program. IMSCP shall provide such notice within [**] after the earlier of (x) approval of the applicable transaction or event by IMSCP’s board of directors or (y) the public or shareholder disclosure of such transaction or event. For the avoidance of doubt, IMSCP shall not be required to provide notice of ordinary-course operational matters or immaterial events that do not have a material effect on the value of Cue’s holdings.</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If, for any period, IMSCP has any subsidiary whose accounts are consolidated with those of IMSCP, then in respect of such period, the financial statements delivered pursuant to the foregoing clauses (a) and (b) shall be the consolidated and consolidating financial statements of IMSCP and all such consolidated subsidiaries.</w:t>
      </w:r>
    </w:p>
    <w:p>
      <w:pPr>
        <w:spacing w:after="0" w:line="16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7.7</w:t>
      </w:r>
      <w:r>
        <w:rPr>
          <w:rFonts w:ascii="Times New Roman" w:cs="Times New Roman" w:eastAsia="Times New Roman" w:hAnsi="Times New Roman"/>
          <w:sz w:val="22"/>
          <w:szCs w:val="22"/>
          <w:b w:val="1"/>
          <w:bCs w:val="1"/>
          <w:color w:val="auto"/>
        </w:rPr>
        <w:t>Reimbursement of Prosecution Costs</w:t>
      </w:r>
      <w:r>
        <w:rPr>
          <w:rFonts w:ascii="Times New Roman" w:cs="Times New Roman" w:eastAsia="Times New Roman" w:hAnsi="Times New Roman"/>
          <w:sz w:val="22"/>
          <w:szCs w:val="22"/>
          <w:color w:val="auto"/>
        </w:rPr>
        <w:t>. IMSCP shall reimburse Cue for all reasonable and documented costs and expenses actually incurred by Cue in connection with the filing, prosecution and maintenance of Cue Product Patents in accordance with Section 8.2.2 for so long as the Agreement remains in effect. All payments due pursuant to this Section 7.7 shall be made within [**] of Cue’s delivery of an invoice for such charges. For the avoidance of doubt,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12" w:name="page213"/>
    <w:bookmarkEnd w:id="212"/>
    <w:p>
      <w:pPr>
        <w:jc w:val="both"/>
        <w:spacing w:after="0" w:line="258" w:lineRule="auto"/>
        <w:rPr>
          <w:sz w:val="20"/>
          <w:szCs w:val="20"/>
          <w:color w:val="auto"/>
        </w:rPr>
      </w:pPr>
      <w:r>
        <w:rPr>
          <w:rFonts w:ascii="Times New Roman" w:cs="Times New Roman" w:eastAsia="Times New Roman" w:hAnsi="Times New Roman"/>
          <w:sz w:val="22"/>
          <w:szCs w:val="22"/>
          <w:color w:val="auto"/>
        </w:rPr>
        <w:t>IMSCP shall not be obligated to reimburse any internal [**] costs of Cue unless IMSCP has approved such costs in writing in advance.</w:t>
      </w:r>
    </w:p>
    <w:p>
      <w:pPr>
        <w:spacing w:after="0" w:line="15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7.8</w:t>
      </w:r>
      <w:r>
        <w:rPr>
          <w:rFonts w:ascii="Times New Roman" w:cs="Times New Roman" w:eastAsia="Times New Roman" w:hAnsi="Times New Roman"/>
          <w:sz w:val="22"/>
          <w:szCs w:val="22"/>
          <w:b w:val="1"/>
          <w:bCs w:val="1"/>
          <w:color w:val="auto"/>
        </w:rPr>
        <w:t>Payments</w:t>
      </w:r>
      <w:r>
        <w:rPr>
          <w:rFonts w:ascii="Times New Roman" w:cs="Times New Roman" w:eastAsia="Times New Roman" w:hAnsi="Times New Roman"/>
          <w:sz w:val="22"/>
          <w:szCs w:val="22"/>
          <w:color w:val="auto"/>
        </w:rPr>
        <w:t>. All payments to either Party by the other Party under this Agreement: (a) shall be made by such other Party or its Affiliate by deposit of Dollars in the requisite amount to such bank account as such Party may from time to time designate by notice to the paying Party and (b) are non-refundable and non-creditable, and except to the extent expressly set forth in this Agreement, not subject to any deduction, offset or reduction. For the purpose of calculating any sums due under, or otherwise reimbursable pursuant to, this Agreement (including the calculation of Net Sales expressed in currencies other than Dollars), in the case of any amounts designated in another currency, each Party shall convert such foreign currency into Dollars using its standard conversion method consistent with its Accounting Standards in a manner consistent with the respective Party’s customary and usual conversion procedures used in preparing its audited financial reports applied on a consistent basis, provided that such procedures use a widely accepted source of published exchange rates.</w:t>
      </w:r>
    </w:p>
    <w:p>
      <w:pPr>
        <w:spacing w:after="0" w:line="174"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7.9</w:t>
      </w:r>
      <w:r>
        <w:rPr>
          <w:rFonts w:ascii="Times New Roman" w:cs="Times New Roman" w:eastAsia="Times New Roman" w:hAnsi="Times New Roman"/>
          <w:sz w:val="22"/>
          <w:szCs w:val="22"/>
          <w:b w:val="1"/>
          <w:bCs w:val="1"/>
          <w:color w:val="auto"/>
        </w:rPr>
        <w:t>Inspection of Records</w:t>
      </w:r>
      <w:r>
        <w:rPr>
          <w:rFonts w:ascii="Times New Roman" w:cs="Times New Roman" w:eastAsia="Times New Roman" w:hAnsi="Times New Roman"/>
          <w:sz w:val="22"/>
          <w:szCs w:val="22"/>
          <w:color w:val="auto"/>
        </w:rPr>
        <w:t>. IMSCP shall, and shall cause its Affiliates and Sublicensees to, keep full and accurate books and records setting forth gross sales of Licensed Products, Net Sales of Licensed Products, itemized deductions from gross sales taken to calculate Net Sales, Non-Royalty Sublicense Fees, Royalty Sublicense Fees and other amounts payable hereunder to Cue, in each case in accordance with Accounting Standards. IMSCP shall permit Cue, or independent qualified public accountants engaged by Cue and reasonably acceptable to IMSCP, to examine such books and records at any reasonable time, but not later than [**] following the rendering of any corresponding reports, accountings and payments pursuant to Section 7.3 unless otherwise required in connection with Section 7.04 of the [**] License Agreement as set forth in Exhibit 3.6. Cue shall bear the cost of any such examination and review; provided, however, that if the inspection or audit shows an underpayment of any amounts payable hereunder of more than [**] of the amount due for the applicable period, then IMSCP shall promptly reimburse Cue for all costs incurred in connection with such examination and review. Should such examination and review lead to the discovery of a discrepancy to Cue’s detriment, IMSCP will, within [**] after receipt of such report from the accounting firm, pay the amount of the discrepancy together with interest at the rate set forth in Section 7.10.</w:t>
      </w:r>
    </w:p>
    <w:p>
      <w:pPr>
        <w:spacing w:after="0" w:line="18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7.10</w:t>
      </w:r>
      <w:r>
        <w:rPr>
          <w:rFonts w:ascii="Times New Roman" w:cs="Times New Roman" w:eastAsia="Times New Roman" w:hAnsi="Times New Roman"/>
          <w:sz w:val="22"/>
          <w:szCs w:val="22"/>
          <w:b w:val="1"/>
          <w:bCs w:val="1"/>
          <w:color w:val="auto"/>
        </w:rPr>
        <w:t>Late Payment</w:t>
      </w:r>
      <w:r>
        <w:rPr>
          <w:rFonts w:ascii="Times New Roman" w:cs="Times New Roman" w:eastAsia="Times New Roman" w:hAnsi="Times New Roman"/>
          <w:sz w:val="22"/>
          <w:szCs w:val="22"/>
          <w:color w:val="auto"/>
        </w:rPr>
        <w:t>. Any payments or portions thereof due hereunder that are not paid on the date such payments are due under this Agreement shall bear interest at a rate equal to the lesser of: (a) [**] above the prime rate as published by Citibank, N.A., New York, New York, or any successor thereto, at 12:01 a.m. Eastern Time on the first day of each Calendar Quarter in which such payments are overdue or (b) the maximum rate permitted by Applicable Law; in each case calculated on the number of days such payment is delinquent, compounded monthly.</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7.11</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All payments by IMSCP to Cue under this Agreement shall be made free and clear of and without reduction for any taxes, duties or similar charges imposed by any Governmental Authority, other than taxes imposed on Cue’s overall net income, franchise or capital, which shall be the sole responsibility of and paid by Cue (the “</w:t>
      </w:r>
      <w:r>
        <w:rPr>
          <w:rFonts w:ascii="Times New Roman" w:cs="Times New Roman" w:eastAsia="Times New Roman" w:hAnsi="Times New Roman"/>
          <w:sz w:val="22"/>
          <w:szCs w:val="22"/>
          <w:b w:val="1"/>
          <w:bCs w:val="1"/>
          <w:color w:val="auto"/>
        </w:rPr>
        <w:t>Cue Taxes</w:t>
      </w:r>
      <w:r>
        <w:rPr>
          <w:rFonts w:ascii="Times New Roman" w:cs="Times New Roman" w:eastAsia="Times New Roman" w:hAnsi="Times New Roman"/>
          <w:sz w:val="22"/>
          <w:szCs w:val="22"/>
          <w:color w:val="auto"/>
        </w:rPr>
        <w:t>”). However, if IMSCP is required to withhold any such taxes, duties or similar charges on the amounts payable to Cue hereunder pursuant to Section 7.1.1 or Section 7.1.2, then IMSCP and Cue shall each bear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13" w:name="page214"/>
    <w:bookmarkEnd w:id="213"/>
    <w:p>
      <w:pPr>
        <w:jc w:val="both"/>
        <w:spacing w:after="0" w:line="233" w:lineRule="auto"/>
        <w:rPr>
          <w:sz w:val="20"/>
          <w:szCs w:val="20"/>
          <w:color w:val="auto"/>
        </w:rPr>
      </w:pPr>
      <w:r>
        <w:rPr>
          <w:rFonts w:ascii="Times New Roman" w:cs="Times New Roman" w:eastAsia="Times New Roman" w:hAnsi="Times New Roman"/>
          <w:sz w:val="22"/>
          <w:szCs w:val="22"/>
          <w:color w:val="auto"/>
        </w:rPr>
        <w:t>fifty percent (50%) of any amount that is subject to withholding by a Governmental Authority up to [**] U.S. Dollars (U.S. $[**]) per Party (the “</w:t>
      </w:r>
      <w:r>
        <w:rPr>
          <w:rFonts w:ascii="Times New Roman" w:cs="Times New Roman" w:eastAsia="Times New Roman" w:hAnsi="Times New Roman"/>
          <w:sz w:val="22"/>
          <w:szCs w:val="22"/>
          <w:b w:val="1"/>
          <w:bCs w:val="1"/>
          <w:color w:val="auto"/>
        </w:rPr>
        <w:t>Withholding Amount</w:t>
      </w:r>
      <w:r>
        <w:rPr>
          <w:rFonts w:ascii="Times New Roman" w:cs="Times New Roman" w:eastAsia="Times New Roman" w:hAnsi="Times New Roman"/>
          <w:sz w:val="22"/>
          <w:szCs w:val="22"/>
          <w:color w:val="auto"/>
        </w:rPr>
        <w:t>”). For clarity, if the total statutory withholding on a [**]. Any withholding taxes, duties or similar charges in excess of U.S. $[**] in the aggregate shall be the sole responsibility of IMSCP. IMSCP will reimburse Cue for Cue’s share of the Withholding Amount when IMSCP makes its required payment under Section 7.1.3. Except as provided above, all additional payments by IMSCP to Cue under this Agreement, IMSCP shall pay to Cue such additional amounts as are necessary to ensure receipt by Cue of the full amount for which Cue would have received but for such withholding. IMSCP shall provide Cue with official receipts issued by the appropriate Governmental Authority or such other evidence as is reasonably requested by Cue to establish that such taxes have been paid. Each Party agrees to cooperate with the other Party in claiming refunds or exemptions from such deductions or withholdings under any relevant agreement or treaty which is in effect. The Parties shall discuss applicable mechanisms for minimizing such taxes to the extent possible in compliance with Applicable Law. If IMSCP withholds any taxes and pays Cue an additional amount equal to such withholding pursuant to this Section 7.11, then, to the extent the applicable taxing authority later refunds any portion of such withholding to Cue, Cue will promptly pay such refunded amount to IMSCP.</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w:t>
      </w:r>
    </w:p>
    <w:p>
      <w:pPr>
        <w:spacing w:after="0" w:line="200" w:lineRule="exact"/>
        <w:rPr>
          <w:sz w:val="20"/>
          <w:szCs w:val="20"/>
          <w:color w:val="auto"/>
        </w:rPr>
      </w:pPr>
    </w:p>
    <w:p>
      <w:pPr>
        <w:spacing w:after="0" w:line="22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8.1</w:t>
      </w:r>
      <w:r>
        <w:rPr>
          <w:rFonts w:ascii="Times New Roman" w:cs="Times New Roman" w:eastAsia="Times New Roman" w:hAnsi="Times New Roman"/>
          <w:sz w:val="22"/>
          <w:szCs w:val="22"/>
          <w:b w:val="1"/>
          <w:bCs w:val="1"/>
          <w:color w:val="auto"/>
        </w:rPr>
        <w:t>Ownership, Generally</w:t>
      </w:r>
      <w:r>
        <w:rPr>
          <w:rFonts w:ascii="Times New Roman" w:cs="Times New Roman" w:eastAsia="Times New Roman" w:hAnsi="Times New Roman"/>
          <w:sz w:val="22"/>
          <w:szCs w:val="22"/>
          <w:color w:val="auto"/>
        </w:rPr>
        <w:t>. As between the Parties, each Party will retain ownership of all Patents, Know-How and other intellectual property rights that are Controlled by such Party prior to the Effective Date or are Invented by or first obtained by such Party through activities that are not within the scope of this Agreement. The Parties agree that the U.S. federal patent law on inventorship shall determine the inventorship of any invention and the names of the inventors on any Patents, whether sole or joint inventions, which arise in connection with the activities conducted pursuant to this Agreement. Subject to the rights granted and restrictions undertaken by a Party under this Agreement, such Party shall be entitled to practice, license (through multiple tiers), assign and otherwise Exploit any Joint Collaboration Know-How and Joint Collaboration Patents in all countries and jurisdictions without the duty of accounting or seeking consent from the other Party.</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8.2</w:t>
      </w:r>
      <w:r>
        <w:rPr>
          <w:rFonts w:ascii="Times New Roman" w:cs="Times New Roman" w:eastAsia="Times New Roman" w:hAnsi="Times New Roman"/>
          <w:sz w:val="22"/>
          <w:szCs w:val="22"/>
          <w:b w:val="1"/>
          <w:bCs w:val="1"/>
          <w:color w:val="auto"/>
        </w:rPr>
        <w:t>Prosecution and Maintenance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8.2.1 </w:t>
      </w:r>
      <w:r>
        <w:rPr>
          <w:rFonts w:ascii="Times New Roman" w:cs="Times New Roman" w:eastAsia="Times New Roman" w:hAnsi="Times New Roman"/>
          <w:sz w:val="22"/>
          <w:szCs w:val="22"/>
          <w:b w:val="1"/>
          <w:bCs w:val="1"/>
          <w:color w:val="auto"/>
        </w:rPr>
        <w:t>Joint IMSCP/Cue Patents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2254"/>
        <w:spacing w:after="0" w:line="235" w:lineRule="auto"/>
        <w:tabs>
          <w:tab w:leader="none" w:pos="254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Parties, IMSCP shall have the first right to file, prosecute and maintain all Joint IMSCP/Cue Patents throughout the world, and IMSCP shall be solely responsible for all costs and expenses incurred in connection with such filing, prosecution and maintenance. IMSCP shall keep Cue reasonably informed of the status of such Joint IMSCP/Cue Patents and shall promptly provide Cue with material correspondence received from any patent authorities in connection therewith. In addition, IMSCP shall timely provide Cue with drafts of all proposed material filings and correspondence to any patent authorities with respect to such Joint IMSCP/Cue Patents to allow for Cue’s review and comment prior to the submission 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14" w:name="page215"/>
    <w:bookmarkEnd w:id="214"/>
    <w:p>
      <w:pPr>
        <w:jc w:val="both"/>
        <w:spacing w:after="0" w:line="239" w:lineRule="auto"/>
        <w:rPr>
          <w:sz w:val="20"/>
          <w:szCs w:val="20"/>
          <w:color w:val="auto"/>
        </w:rPr>
      </w:pPr>
      <w:r>
        <w:rPr>
          <w:rFonts w:ascii="Times New Roman" w:cs="Times New Roman" w:eastAsia="Times New Roman" w:hAnsi="Times New Roman"/>
          <w:sz w:val="22"/>
          <w:szCs w:val="22"/>
          <w:color w:val="auto"/>
        </w:rPr>
        <w:t>such proposed filings and correspondence. IMSCP shall take into consideration Cue’s good faith comments (if any) prior to submitting such filings and correspondence. Notwithstanding any provision of this Agreement to the contrary, IMSCP shall not be required to make any filing with respect to any Joint IMSCP/Cue Patent which may reasonably be expected to have a material adverse impact on any other Joint IMSCP/Cue Patent.</w:t>
      </w:r>
    </w:p>
    <w:p>
      <w:pPr>
        <w:spacing w:after="0" w:line="180" w:lineRule="exact"/>
        <w:rPr>
          <w:sz w:val="20"/>
          <w:szCs w:val="20"/>
          <w:color w:val="auto"/>
        </w:rPr>
      </w:pPr>
    </w:p>
    <w:p>
      <w:pPr>
        <w:jc w:val="both"/>
        <w:ind w:firstLine="2254"/>
        <w:spacing w:after="0" w:line="232" w:lineRule="auto"/>
        <w:tabs>
          <w:tab w:leader="none" w:pos="2546"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IMSCP shall notify Cue of any decision to (i) not file, cease prosecution of, or cease the continued maintenance of, any Joint IMSCP/Cue Patents, including any PCT applications, Paris Convention and non-Paris Convention Patents and in any country, any national or regional Patents corresponding to a PCT application, or (ii) not file a continuation or divisional application of any of the foregoing Joint IMSCP/Cue Patents. Where possible, IMSCP shall provide such notice at least [**] prior to any filing or payment due date, or any other due date that requires action in order to avoid loss of rights, in connection with such Joint IMSCP/Cue Patents in such country. In such event, Cue shall have the right, but not the obligation, to assume responsibility for filing, prosecution and/or maintenance of such Joint IMSCP/Cue Patents at its sole discretion, cost and expense,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Cue shall keep IMSCP reasonably informed of the status of such Joint IMSCP/Cue Patents for which Cue has assumed responsibility and shall promptly provide IMSCP with material correspondence received from any patent authorities in connection therewith. For clarity, all such applications for which Cue assumes responsibility (and Patents issuing therefrom) shall continue to be Joint IMSCP/Cue Patents. In addition, Cue shall timely provide IMSCP with drafts of all proposed material filings and correspondence to any patent authorities to allow for IMSCP’s review and comment prior to the submission of such proposed filings and correspondence. Cue shall take into consideration IMSCP’s good faith comments (if any) prior to submitting such filings and correspondence. If Cue notifies IMSCP that Cue no longer wishes to maintain any such IMSCP/Cue Patent, IMSCP shall have the right, but not the obligation, to assume responsibility for filing, prosecution and/or maintenance of such Joint IMSCP/Cue Patents at IMSCP’s sole discretion, cost and expense unless otherwise agreed to by the Parties, provided that, IMSCP thereafter shall follow the procedures of Section 8.2.1(a) for such IMSCP/Cue Patents for which it assumes responsibility.</w:t>
      </w:r>
    </w:p>
    <w:p>
      <w:pPr>
        <w:spacing w:after="0" w:line="188"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Joint IMSCP/Cue Patent that is a PCT application, where possible, at least [**] prior to the</w:t>
      </w:r>
    </w:p>
    <w:p>
      <w:pPr>
        <w:spacing w:after="0" w:line="25" w:lineRule="exact"/>
        <w:rPr>
          <w:rFonts w:ascii="Times New Roman" w:cs="Times New Roman" w:eastAsia="Times New Roman" w:hAnsi="Times New Roman"/>
          <w:sz w:val="21"/>
          <w:szCs w:val="21"/>
          <w:color w:val="auto"/>
        </w:rPr>
      </w:pPr>
    </w:p>
    <w:p>
      <w:pPr>
        <w:jc w:val="both"/>
        <w:ind w:firstLine="8"/>
        <w:spacing w:after="0" w:line="230" w:lineRule="auto"/>
        <w:tabs>
          <w:tab w:leader="none" w:pos="4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such PCT, IMSCP will provide to Cue a list of IMSCP’s intended national and regional phase filings (all such filings to be at IMSCP’s sole cost and expense per Section 8.2.1(a))). If Cue wishes to file a national and/or regional phase application in any additional jurisdictions within the Territory, Cue will notify IMSCP of such additional jurisdictions at least</w:t>
      </w:r>
    </w:p>
    <w:p>
      <w:pPr>
        <w:spacing w:after="0" w:line="1" w:lineRule="exact"/>
        <w:rPr>
          <w:rFonts w:ascii="Times New Roman" w:cs="Times New Roman" w:eastAsia="Times New Roman" w:hAnsi="Times New Roman"/>
          <w:sz w:val="22"/>
          <w:szCs w:val="22"/>
          <w:color w:val="auto"/>
        </w:rPr>
      </w:pPr>
    </w:p>
    <w:p>
      <w:pPr>
        <w:jc w:val="both"/>
        <w:ind w:firstLine="8"/>
        <w:spacing w:after="0" w:line="244" w:lineRule="auto"/>
        <w:tabs>
          <w:tab w:leader="none" w:pos="446"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prior to the [**], and IMSCP will file national-stage applications in each such additional jurisdiction at Cue’s cost and expense. IMSCP agrees to present claims provided by Cue in such additional national and regional filings, and IMSCP thereafter shall follow the procedures of Section 8.2.1(a) for any such additional filing. Cue shall continue to bear all filing and prosecution costs relating to such additional Joint IMSCP/Cue Patents until such time as Cue notifies IMSCP that Cue no longer wishes to maintain any such Joint IMSCP/Cue Patent, at which time, IMSCP may elect to abandon any such Joint IMSCP/Cue Patent or continue prosecution and/or maintenance at IMSCP’s expense unless otherwise agreed to by the Parties,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IMSCP thereafter shall follow the procedures of Section 8.2.1(a) for any such IMSCP/Cue Patent for which it assumes responsibility.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15" w:name="page216"/>
    <w:bookmarkEnd w:id="215"/>
    <w:p>
      <w:pPr>
        <w:ind w:left="1500"/>
        <w:spacing w:after="0"/>
        <w:rPr>
          <w:sz w:val="20"/>
          <w:szCs w:val="20"/>
          <w:color w:val="auto"/>
        </w:rPr>
      </w:pPr>
      <w:r>
        <w:rPr>
          <w:rFonts w:ascii="Times New Roman" w:cs="Times New Roman" w:eastAsia="Times New Roman" w:hAnsi="Times New Roman"/>
          <w:sz w:val="22"/>
          <w:szCs w:val="22"/>
          <w:color w:val="auto"/>
        </w:rPr>
        <w:t xml:space="preserve">8.2.2 </w:t>
      </w:r>
      <w:r>
        <w:rPr>
          <w:rFonts w:ascii="Times New Roman" w:cs="Times New Roman" w:eastAsia="Times New Roman" w:hAnsi="Times New Roman"/>
          <w:sz w:val="22"/>
          <w:szCs w:val="22"/>
          <w:b w:val="1"/>
          <w:bCs w:val="1"/>
          <w:color w:val="auto"/>
        </w:rPr>
        <w:t>Cue Product Patents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2254"/>
        <w:spacing w:after="0" w:line="233" w:lineRule="auto"/>
        <w:tabs>
          <w:tab w:leader="none" w:pos="254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execution of this Agreement, the Parties will work together to develop patent protection for Cue Product Patents. Cue shall maintain responsibility for filing, prosecuting and maintaining all Cue Product Patents throughout the world. Cue shall continue to engage its patent counsel of record as of the Effective Date for filing, prosecuting and maintaining all Cue Product Patents throughout the world. Should Cue seek to engage alternative patent counsel, it shall obtain IMSCP’s approval, which approval shall not be unreasonably withheld, conditioned, or delayed. Cue will establish a prosecution portal and procedures to timely provide IMSCP with all prosecution documents and correspondence received from any patent authorities in connection therewith. In addition, the Parties shall work together to prepare and review drafts of all proposed material filings and correspondence to any patent authorities with respect to such Cue Product Patents. Cue shall take into consideration IMSCP’s good faith comments and proposed edits (if any) and to the extent reasonably possible implement such comments and edits in preparing and submitting such filings and correspondence. Notwithstanding any provision of this Agreement to the contrary, Cue shall not be required to make any filing with respect to any Cue Product Patent which may reasonably be expected to have a material adverse impact on any other Cue Patent.</w:t>
      </w:r>
    </w:p>
    <w:p>
      <w:pPr>
        <w:spacing w:after="0" w:line="184" w:lineRule="exact"/>
        <w:rPr>
          <w:rFonts w:ascii="Times New Roman" w:cs="Times New Roman" w:eastAsia="Times New Roman" w:hAnsi="Times New Roman"/>
          <w:sz w:val="22"/>
          <w:szCs w:val="22"/>
          <w:color w:val="auto"/>
        </w:rPr>
      </w:pPr>
    </w:p>
    <w:p>
      <w:pPr>
        <w:jc w:val="both"/>
        <w:ind w:firstLine="2254"/>
        <w:spacing w:after="0" w:line="236" w:lineRule="auto"/>
        <w:tabs>
          <w:tab w:leader="none" w:pos="254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this Section 8.2.2, IMSCP shall be solely responsible for all costs and expenses incurred by Cue in connection with the filing, prosecution and maintenance of Cue Product Patents. If IMSCP determines that it does not want to bear the costs and expenses of filing, prosecution and maintenance of any Cue Product Patent, then such Cue Product Patent shall cease to be a Cue Product Patent for purposes of this Section 8.2.2, and also shall not be a Product Specific Patent for purposes of Sections 8.3 and 8.4, and Cue shall have no further responsibility to IMSCP regarding such Cue Patent.</w:t>
      </w:r>
    </w:p>
    <w:p>
      <w:pPr>
        <w:spacing w:after="0" w:line="181" w:lineRule="exact"/>
        <w:rPr>
          <w:rFonts w:ascii="Times New Roman" w:cs="Times New Roman" w:eastAsia="Times New Roman" w:hAnsi="Times New Roman"/>
          <w:sz w:val="22"/>
          <w:szCs w:val="22"/>
          <w:color w:val="auto"/>
        </w:rPr>
      </w:pPr>
    </w:p>
    <w:p>
      <w:pPr>
        <w:jc w:val="both"/>
        <w:ind w:firstLine="2254"/>
        <w:spacing w:after="0" w:line="233" w:lineRule="auto"/>
        <w:tabs>
          <w:tab w:leader="none" w:pos="254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Cue Product Patent that is a PCT application, where possible, at least [**] prior to the [**] for each such PCT, IMSCP will provide to Cue a list of national and regional phase filings that IMSCP wishes Cue to make. Cue will implement such filings and IMSCP will bear all filing, prosecution and maintenance costs and expenses in all such jurisdictions selected by IMSCP, and the Parties shall thereafter follow the procedures set out in Section 8.2.2 for all such Cue Product Patents. Cue will have the right but not the obligation to file national and regional phase in any additional jurisdictions within the Territory not selected by IMSCP. Cue will notify IMSCP of such additional jurisdictions at least [**] prior to the [**], and IMSCP shall determine if IMSCP wishes any of such additional filings to be Cue Product Patents, in which case IMSCP will bear the costs and expenses for filing, prosecution and maintenance of the selected additional jurisdictions, and such additional filings shall be Cue Product Patents. For any filings in additional jurisdictions that IMSCP declines to include as Cue Product Patents, Cue will be solely responsible for all costs and expenses associated with such additional applications and such applications and patents resulting therefore shall no longer be considered a Cue Product Patent for purposes of this Section 8.2.2, and also shall not be a Product Specific Patent for purposes of Section 8.3 and 8.4, and Cue shall have no further responsibility to IMSCP regarding such Cue Patent.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16" w:name="page217"/>
    <w:bookmarkEnd w:id="216"/>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8.2.3 </w:t>
      </w:r>
      <w:r>
        <w:rPr>
          <w:rFonts w:ascii="Times New Roman" w:cs="Times New Roman" w:eastAsia="Times New Roman" w:hAnsi="Times New Roman"/>
          <w:sz w:val="22"/>
          <w:szCs w:val="22"/>
          <w:b w:val="1"/>
          <w:bCs w:val="1"/>
          <w:color w:val="auto"/>
        </w:rPr>
        <w:t>Other Patents</w:t>
      </w:r>
      <w:r>
        <w:rPr>
          <w:rFonts w:ascii="Times New Roman" w:cs="Times New Roman" w:eastAsia="Times New Roman" w:hAnsi="Times New Roman"/>
          <w:sz w:val="22"/>
          <w:szCs w:val="22"/>
          <w:color w:val="auto"/>
        </w:rPr>
        <w:t>. As between the Parties, except as expressly set forth in this Agreement, a Party shall have the sole right, but not the obligation, to file, prosecute and maintain throughout the world all Patents owned or controlled by such Party, and such Party shall be solely responsible for all costs and expenses incurred in connection with such filing, prosecution and maintenance.</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 xml:space="preserve">8.2.4 </w:t>
      </w:r>
      <w:r>
        <w:rPr>
          <w:rFonts w:ascii="Times New Roman" w:cs="Times New Roman" w:eastAsia="Times New Roman" w:hAnsi="Times New Roman"/>
          <w:sz w:val="22"/>
          <w:szCs w:val="22"/>
          <w:b w:val="1"/>
          <w:bCs w:val="1"/>
          <w:color w:val="auto"/>
        </w:rPr>
        <w:t>Cooperation</w:t>
      </w:r>
      <w:r>
        <w:rPr>
          <w:rFonts w:ascii="Times New Roman" w:cs="Times New Roman" w:eastAsia="Times New Roman" w:hAnsi="Times New Roman"/>
          <w:sz w:val="22"/>
          <w:szCs w:val="22"/>
          <w:color w:val="auto"/>
        </w:rPr>
        <w:t>. Each Party shall provide the other Party, at the other Party’s request and expense, all reasonable assistance and cooperation in the patent prosecution efforts under this Section 8.2, including providing any necessary powers of attorney and executing any other required documents or instruments for such prosecution.</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8.3</w:t>
      </w:r>
      <w:r>
        <w:rPr>
          <w:rFonts w:ascii="Times New Roman" w:cs="Times New Roman" w:eastAsia="Times New Roman" w:hAnsi="Times New Roman"/>
          <w:sz w:val="22"/>
          <w:szCs w:val="22"/>
          <w:b w:val="1"/>
          <w:bCs w:val="1"/>
          <w:color w:val="auto"/>
        </w:rPr>
        <w:t>Patent Enforcement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8.3.1 </w:t>
      </w:r>
      <w:r>
        <w:rPr>
          <w:rFonts w:ascii="Times New Roman" w:cs="Times New Roman" w:eastAsia="Times New Roman" w:hAnsi="Times New Roman"/>
          <w:sz w:val="22"/>
          <w:szCs w:val="22"/>
          <w:b w:val="1"/>
          <w:bCs w:val="1"/>
          <w:color w:val="auto"/>
        </w:rPr>
        <w:t>Notification</w:t>
      </w:r>
      <w:r>
        <w:rPr>
          <w:rFonts w:ascii="Times New Roman" w:cs="Times New Roman" w:eastAsia="Times New Roman" w:hAnsi="Times New Roman"/>
          <w:sz w:val="22"/>
          <w:szCs w:val="22"/>
          <w:color w:val="auto"/>
        </w:rPr>
        <w:t>. If either Party becomes aware of any material infringement, misappropriation, or other violation anywhere in the world, of any of the Product Specific Patents, including any “patent certification” filed in the United States under 21 U.S.C. §355(b)(2) or 21 U.S.C. §355(j)(2) or similar provisions in other jurisdictions or of any request for declaratory judgment, opposition, nullity action, interference, inter-partes reexamination, inter-partes review, post-grant review, derivation proceeding, or similar action or proceeding alleging the invalidity, unenforceability or non-infringement of any of such Product Specific Patents (collectively, a “</w:t>
      </w:r>
      <w:r>
        <w:rPr>
          <w:rFonts w:ascii="Times New Roman" w:cs="Times New Roman" w:eastAsia="Times New Roman" w:hAnsi="Times New Roman"/>
          <w:sz w:val="22"/>
          <w:szCs w:val="22"/>
          <w:b w:val="1"/>
          <w:bCs w:val="1"/>
          <w:color w:val="auto"/>
        </w:rPr>
        <w:t>Product Infringement</w:t>
      </w:r>
      <w:r>
        <w:rPr>
          <w:rFonts w:ascii="Times New Roman" w:cs="Times New Roman" w:eastAsia="Times New Roman" w:hAnsi="Times New Roman"/>
          <w:sz w:val="22"/>
          <w:szCs w:val="22"/>
          <w:color w:val="auto"/>
        </w:rPr>
        <w:t>”) by a Third Party with respect to a Licensed Molecule that such Third Party is [**] (a “</w:t>
      </w:r>
      <w:r>
        <w:rPr>
          <w:rFonts w:ascii="Times New Roman" w:cs="Times New Roman" w:eastAsia="Times New Roman" w:hAnsi="Times New Roman"/>
          <w:sz w:val="22"/>
          <w:szCs w:val="22"/>
          <w:b w:val="1"/>
          <w:bCs w:val="1"/>
          <w:color w:val="auto"/>
        </w:rPr>
        <w:t>Competitive Product Infringement</w:t>
      </w:r>
      <w:r>
        <w:rPr>
          <w:rFonts w:ascii="Times New Roman" w:cs="Times New Roman" w:eastAsia="Times New Roman" w:hAnsi="Times New Roman"/>
          <w:sz w:val="22"/>
          <w:szCs w:val="22"/>
          <w:color w:val="auto"/>
        </w:rPr>
        <w:t>”), such Party shall promptly notify the other Party in writing of such Competitive Product Infringement.</w:t>
      </w:r>
    </w:p>
    <w:p>
      <w:pPr>
        <w:spacing w:after="0" w:line="178"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 xml:space="preserve">8.3.2 </w:t>
      </w:r>
      <w:r>
        <w:rPr>
          <w:rFonts w:ascii="Times New Roman" w:cs="Times New Roman" w:eastAsia="Times New Roman" w:hAnsi="Times New Roman"/>
          <w:sz w:val="21"/>
          <w:szCs w:val="21"/>
          <w:b w:val="1"/>
          <w:bCs w:val="1"/>
          <w:color w:val="auto"/>
        </w:rPr>
        <w:t>Product Specific Patents</w:t>
      </w:r>
      <w:r>
        <w:rPr>
          <w:rFonts w:ascii="Times New Roman" w:cs="Times New Roman" w:eastAsia="Times New Roman" w:hAnsi="Times New Roman"/>
          <w:sz w:val="21"/>
          <w:szCs w:val="21"/>
          <w:color w:val="auto"/>
        </w:rPr>
        <w:t>. For any Competitive Product Infringement of a Product Specific Patent, as between the Parties, IMSCP shall have the first right, but not the obligation, to bring an appropriate suit or take other appropriate action against any Third Party engaged in such Competitive Product Infringement to remedy or defend against (as applicable) such Competitive Product Infringement, at its own cost and expense. In the event that IMSCP does not exercise such right within</w:t>
      </w:r>
    </w:p>
    <w:p>
      <w:pPr>
        <w:spacing w:after="0" w:line="2" w:lineRule="exact"/>
        <w:rPr>
          <w:sz w:val="20"/>
          <w:szCs w:val="20"/>
          <w:color w:val="auto"/>
        </w:rPr>
      </w:pPr>
    </w:p>
    <w:p>
      <w:pPr>
        <w:jc w:val="both"/>
        <w:ind w:firstLine="8"/>
        <w:spacing w:after="0" w:line="232" w:lineRule="auto"/>
        <w:tabs>
          <w:tab w:leader="none" w:pos="417"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receiving notice of the applicable Competitive Product Infringement on or prior to [**] before the time limit, if any, set forth under Applicable Laws for the initial filing or defense of such actions, whichever comes first, Cue shall have the right, but not the obligation, to bring, defend and control any such action at its own expense and by counsel of its choice; provided that if IMSCP notifies Cue in writing prior to [**] before such time limit for the initial filing or defense of any such action that IMSCP intends to file or defend such action before the time limit, then IMSCP shall be obligated to file or defend such action before such time limit (provided that, in such case, IMSCP’s failure to so file or defend such action before such time limit shall be deemed a material breach of this Agreement), and Cue will not have the right to bring, defend or control such action.</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8.3.3 </w:t>
      </w:r>
      <w:r>
        <w:rPr>
          <w:rFonts w:ascii="Times New Roman" w:cs="Times New Roman" w:eastAsia="Times New Roman" w:hAnsi="Times New Roman"/>
          <w:sz w:val="22"/>
          <w:szCs w:val="22"/>
          <w:b w:val="1"/>
          <w:bCs w:val="1"/>
          <w:color w:val="auto"/>
        </w:rPr>
        <w:t>Other Cue Patents and IMSCP Patents</w:t>
      </w:r>
      <w:r>
        <w:rPr>
          <w:rFonts w:ascii="Times New Roman" w:cs="Times New Roman" w:eastAsia="Times New Roman" w:hAnsi="Times New Roman"/>
          <w:sz w:val="22"/>
          <w:szCs w:val="22"/>
          <w:color w:val="auto"/>
        </w:rPr>
        <w:t>. For any other infringement, misappropriation, or other violation, or any action or proceeding alleging invalidity, unenforceability or non-infringement, anywhere in the world, by a Third Party of the Patent owned or controlled by a Party, except as expressly set forth in Section 8.3.2, as between the Parties, such Party will have the sole right, but not the obligation, to bring and control any legal action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17" w:name="page218"/>
    <w:bookmarkEnd w:id="217"/>
    <w:p>
      <w:pPr>
        <w:jc w:val="both"/>
        <w:spacing w:after="0" w:line="258" w:lineRule="auto"/>
        <w:rPr>
          <w:sz w:val="20"/>
          <w:szCs w:val="20"/>
          <w:color w:val="auto"/>
        </w:rPr>
      </w:pPr>
      <w:r>
        <w:rPr>
          <w:rFonts w:ascii="Times New Roman" w:cs="Times New Roman" w:eastAsia="Times New Roman" w:hAnsi="Times New Roman"/>
          <w:sz w:val="22"/>
          <w:szCs w:val="22"/>
          <w:color w:val="auto"/>
        </w:rPr>
        <w:t>connection with any such infringement, misappropriation or other violation, action or proceeding, at its expense, including settling such action, as it reasonably determines appropriate.</w:t>
      </w:r>
    </w:p>
    <w:p>
      <w:pPr>
        <w:spacing w:after="0" w:line="154"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8.3.4 </w:t>
      </w:r>
      <w:r>
        <w:rPr>
          <w:rFonts w:ascii="Times New Roman" w:cs="Times New Roman" w:eastAsia="Times New Roman" w:hAnsi="Times New Roman"/>
          <w:sz w:val="22"/>
          <w:szCs w:val="22"/>
          <w:b w:val="1"/>
          <w:bCs w:val="1"/>
          <w:color w:val="auto"/>
        </w:rPr>
        <w:t>Cooperation</w:t>
      </w:r>
      <w:r>
        <w:rPr>
          <w:rFonts w:ascii="Times New Roman" w:cs="Times New Roman" w:eastAsia="Times New Roman" w:hAnsi="Times New Roman"/>
          <w:sz w:val="22"/>
          <w:szCs w:val="22"/>
          <w:color w:val="auto"/>
        </w:rPr>
        <w:t>. Each Party shall provide to the enforcing Party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controlling Party) reasonable assistance in any enforcement claim, suit or other action brought or defended against in exercise of the enforcing Party’s rights under this Section 8.3, at such enforcing Party’s request and expense, including to be named in such claim, suit or action if required by Applicable Laws to pursue such action. With respect to any enforcement or defense efforts conducted pursuant to Section 8.3.2: (a) the enforcing Party shall keep the other Party regularly informed of the status and progress of enforcement or defense efforts and shall reasonably consider the other Party’s comments on any such efforts, including determination of litigation strategy and filing of material papers to the competent court or tribunal, (b) the non-enforcing Party shall be entitled to separate representation in such matter by counsel of its own choice and at its own expense, but such Party shall at all times reasonably cooperate fully with the enforcing Party, (c) the enforcing Party shall not settle any such claim, suit, action or proceeding, or enter into any agreement in connection therewith, in any manner that would materially adversely affect the other Party’s exclusive rights under this Agreement, without the prior written consent of the other Party (such consent not to be unreasonably withheld, conditioned or delayed). Further, notwithstanding any provision of this Agreement to the contrary, under no circumstances shall IMSCP settle any such claim, suit, action or proceeding involving a Cue Patent, or enter into any agreement in connection therewith, without the prior written consent of Cue.</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8.3.5 </w:t>
      </w:r>
      <w:r>
        <w:rPr>
          <w:rFonts w:ascii="Times New Roman" w:cs="Times New Roman" w:eastAsia="Times New Roman" w:hAnsi="Times New Roman"/>
          <w:sz w:val="22"/>
          <w:szCs w:val="22"/>
          <w:b w:val="1"/>
          <w:bCs w:val="1"/>
          <w:color w:val="auto"/>
        </w:rPr>
        <w:t>Expenses and Recoveries</w:t>
      </w:r>
      <w:r>
        <w:rPr>
          <w:rFonts w:ascii="Times New Roman" w:cs="Times New Roman" w:eastAsia="Times New Roman" w:hAnsi="Times New Roman"/>
          <w:sz w:val="22"/>
          <w:szCs w:val="22"/>
          <w:color w:val="auto"/>
        </w:rPr>
        <w:t>. The enforcing Party bringing or defending an action under Section 8.3.2 shall be solely responsible for any expenses incurred by such Party as a result of such action. Any recovery of monetary damages in connection with such action shall be allocated first to the reimbursement of any out-of-pocket costs incurred by the Party bringing such action, second to the reimbursement of any out-of-pocket costs incurred by the other Party cooperating in such action, and any remaining amounts shall be divided between the Parties such that: (a) in the event that IMSCP brought such action, one hundred percent (100%) shall be retained by IMSCP on the condition that this entire amount shall count towards and be deemed to constitute Net Sales and subject to IMSCP’s payment obligations under Section 7.3, and (b) in the event that Cue brought such action, one hundred percent (100%) is retained by Cue.</w:t>
      </w:r>
    </w:p>
    <w:p>
      <w:pPr>
        <w:spacing w:after="0" w:line="178"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8.4</w:t>
      </w:r>
      <w:r>
        <w:rPr>
          <w:rFonts w:ascii="Times New Roman" w:cs="Times New Roman" w:eastAsia="Times New Roman" w:hAnsi="Times New Roman"/>
          <w:sz w:val="22"/>
          <w:szCs w:val="22"/>
          <w:b w:val="1"/>
          <w:bCs w:val="1"/>
          <w:color w:val="auto"/>
        </w:rPr>
        <w:t>Interference, Derivation, Opposition, Reexamination, Reissue, Supplemental Examination, Inter Partes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Review and Post-Grant Review Proceedings</w:t>
      </w:r>
    </w:p>
    <w:p>
      <w:pPr>
        <w:spacing w:after="0" w:line="150"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8.4.1 </w:t>
      </w:r>
      <w:r>
        <w:rPr>
          <w:rFonts w:ascii="Times New Roman" w:cs="Times New Roman" w:eastAsia="Times New Roman" w:hAnsi="Times New Roman"/>
          <w:sz w:val="22"/>
          <w:szCs w:val="22"/>
          <w:b w:val="1"/>
          <w:bCs w:val="1"/>
          <w:color w:val="auto"/>
        </w:rPr>
        <w:t>Third Party Initiated Proceedings.</w:t>
      </w:r>
      <w:r>
        <w:rPr>
          <w:rFonts w:ascii="Times New Roman" w:cs="Times New Roman" w:eastAsia="Times New Roman" w:hAnsi="Times New Roman"/>
          <w:sz w:val="22"/>
          <w:szCs w:val="22"/>
          <w:color w:val="auto"/>
        </w:rPr>
        <w:t xml:space="preserve"> Each Party shall, within [**] of learning of such event, inform the other Party of any request for, or filing or declaration of, any interference, derivation proceeding, opposition, reexamination requested by a Third Party, </w:t>
      </w:r>
      <w:r>
        <w:rPr>
          <w:rFonts w:ascii="Times New Roman" w:cs="Times New Roman" w:eastAsia="Times New Roman" w:hAnsi="Times New Roman"/>
          <w:sz w:val="22"/>
          <w:szCs w:val="22"/>
          <w:i w:val="1"/>
          <w:iCs w:val="1"/>
          <w:color w:val="auto"/>
        </w:rPr>
        <w:t>inter partes</w:t>
      </w:r>
      <w:r>
        <w:rPr>
          <w:rFonts w:ascii="Times New Roman" w:cs="Times New Roman" w:eastAsia="Times New Roman" w:hAnsi="Times New Roman"/>
          <w:sz w:val="22"/>
          <w:szCs w:val="22"/>
          <w:color w:val="auto"/>
        </w:rPr>
        <w:t xml:space="preserve"> review, post-grant review or similar contested administrative proceeding involving a Third Party relating to (i) during the Research Period, a CUE-100 Series Patent or Joint IMSCP/Cue Patent, or (ii) upon the expiration of the Research Period, a Licensed Product Patent or Joint IMSCP/Cue Patent. Cue and IMSCP shall thereafter consult and cooperate fully to determine a course of action with respect to any such proceeding.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18" w:name="page219"/>
    <w:bookmarkEnd w:id="218"/>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 xml:space="preserve">8.4.2 </w:t>
      </w:r>
      <w:r>
        <w:rPr>
          <w:rFonts w:ascii="Times New Roman" w:cs="Times New Roman" w:eastAsia="Times New Roman" w:hAnsi="Times New Roman"/>
          <w:sz w:val="22"/>
          <w:szCs w:val="22"/>
          <w:b w:val="1"/>
          <w:bCs w:val="1"/>
          <w:color w:val="auto"/>
        </w:rPr>
        <w:t>Conduct of the Proceedings.</w:t>
      </w:r>
      <w:r>
        <w:rPr>
          <w:rFonts w:ascii="Times New Roman" w:cs="Times New Roman" w:eastAsia="Times New Roman" w:hAnsi="Times New Roman"/>
          <w:sz w:val="22"/>
          <w:szCs w:val="22"/>
          <w:color w:val="auto"/>
        </w:rPr>
        <w:t xml:space="preserve"> Absent agreement to the contrary, [**] shall keep [**] regularly informed of the status and progress of any such proceeding and shall reasonably consider the [**] comments on any such efforts, including determination of strategy and filing of material papers to the competent court or tribunal. [**] shall have the right to review and approve any submission to be made in connection with such proceedings involving a [**] as applicable, which approval will not be unreasonably withheld or delayed. [**] shall be entitled to separate representation in such matter by counsel of its own choice and at its own expense, but shall at all times reasonably cooperate with [**].</w:t>
      </w:r>
    </w:p>
    <w:p>
      <w:pPr>
        <w:spacing w:after="0" w:line="175"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8.4.3 </w:t>
      </w:r>
      <w:r>
        <w:rPr>
          <w:rFonts w:ascii="Times New Roman" w:cs="Times New Roman" w:eastAsia="Times New Roman" w:hAnsi="Times New Roman"/>
          <w:sz w:val="22"/>
          <w:szCs w:val="22"/>
          <w:b w:val="1"/>
          <w:bCs w:val="1"/>
          <w:color w:val="auto"/>
        </w:rPr>
        <w:t>Party Initiated Proceedings.</w:t>
      </w:r>
      <w:r>
        <w:rPr>
          <w:rFonts w:ascii="Times New Roman" w:cs="Times New Roman" w:eastAsia="Times New Roman" w:hAnsi="Times New Roman"/>
          <w:sz w:val="22"/>
          <w:szCs w:val="22"/>
          <w:color w:val="auto"/>
        </w:rPr>
        <w:t xml:space="preserve"> The Parties shall confer regarding whether to initiate a reexamination, supplemental examination, reissue or similar administrative proceeding relating to (i) during the Research Period, a CUE-100 Series Patent or Joint IMSCP/Cue Patent, or (ii) upon the expiration of the Research Period, a Licensed Product Patent or Joint IMSCP/Cue Patent. Absent agreement of the Parties, [**] shall have the sole right to initiate any such proceeding relating to a [**], as applicable, and [**] shall have the sole right to initiate any such proceeding relating to a [**].</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8.4.4 </w:t>
      </w:r>
      <w:r>
        <w:rPr>
          <w:rFonts w:ascii="Times New Roman" w:cs="Times New Roman" w:eastAsia="Times New Roman" w:hAnsi="Times New Roman"/>
          <w:sz w:val="22"/>
          <w:szCs w:val="22"/>
          <w:b w:val="1"/>
          <w:bCs w:val="1"/>
          <w:color w:val="auto"/>
        </w:rPr>
        <w:t>Settlement.</w:t>
      </w:r>
      <w:r>
        <w:rPr>
          <w:rFonts w:ascii="Times New Roman" w:cs="Times New Roman" w:eastAsia="Times New Roman" w:hAnsi="Times New Roman"/>
          <w:sz w:val="22"/>
          <w:szCs w:val="22"/>
          <w:color w:val="auto"/>
        </w:rPr>
        <w:t xml:space="preserve"> Neither Party shall settle or offer to settle any such proceeding under this Section 8.4 without the written approval of the other Party, which approval shall not be unreasonably withheld or delayed. For any action or proceeding involving a Cue Patent, IMSCP shall not settle any such proceeding, or enter into any agreement in connection therewith, without the prior written consent of Cue.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8.5</w:t>
      </w:r>
      <w:r>
        <w:rPr>
          <w:rFonts w:ascii="Times New Roman" w:cs="Times New Roman" w:eastAsia="Times New Roman" w:hAnsi="Times New Roman"/>
          <w:sz w:val="22"/>
          <w:szCs w:val="22"/>
          <w:b w:val="1"/>
          <w:bCs w:val="1"/>
          <w:color w:val="auto"/>
        </w:rPr>
        <w:t>Patent Term Extensions</w:t>
      </w:r>
      <w:r>
        <w:rPr>
          <w:rFonts w:ascii="Times New Roman" w:cs="Times New Roman" w:eastAsia="Times New Roman" w:hAnsi="Times New Roman"/>
          <w:sz w:val="22"/>
          <w:szCs w:val="22"/>
          <w:color w:val="auto"/>
        </w:rPr>
        <w:t>.  During the Term, [**] shall have the exclusive right, but not the obligation, to seek, in</w:t>
      </w:r>
    </w:p>
    <w:p>
      <w:pPr>
        <w:spacing w:after="0" w:line="18" w:lineRule="exact"/>
        <w:rPr>
          <w:sz w:val="20"/>
          <w:szCs w:val="20"/>
          <w:color w:val="auto"/>
        </w:rPr>
      </w:pPr>
    </w:p>
    <w:p>
      <w:pPr>
        <w:jc w:val="both"/>
        <w:ind w:firstLine="8"/>
        <w:spacing w:after="0" w:line="232" w:lineRule="auto"/>
        <w:tabs>
          <w:tab w:leader="none" w:pos="41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if so required, patent term extensions, patent term restorations and supplemental protection certificates or the like that are now or become available under Applicable Law, including 35 U.S.C §156 and applicable foreign counterparts, in any country in the Territory for the Product Specific Patents, all at [**] sole cost and expense. Cue and IMSCP shall cooperate in connection with all such activities. [**], its agents and attorneys shall give due consideration to all suggestions and comments of [**] regarding any such activities, but in the event of a disagreement between the Parties, [**] shall have the final decision-making authority with respect to such activities.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9.1</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Except as otherwise expressly provided in this Agreement, with respect to any information, data or materials which are disclosed by or on behalf of one Party to the other Party in connection with this Agreement, whether orally or in writing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the Party receiving Confidential Information of the other Party (each a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undertakes to the Party disclosing such Confidential Information (each a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that it shall not and shall ensure that each of its and its Affiliates’ directors, officers, employees, consultants, and permitted Third Party (sub)contractors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do not, except as expressly provided in this Article 9, disclose to any Third Party or use such Confidential Information for any purpose. Further, the Receiving Party will protect Confidential Information from unauthorized disclosure or access using at least the same safeguards 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19" w:name="page220"/>
    <w:bookmarkEnd w:id="219"/>
    <w:p>
      <w:pPr>
        <w:jc w:val="both"/>
        <w:spacing w:after="0" w:line="239" w:lineRule="auto"/>
        <w:rPr>
          <w:sz w:val="20"/>
          <w:szCs w:val="20"/>
          <w:color w:val="auto"/>
        </w:rPr>
      </w:pPr>
      <w:r>
        <w:rPr>
          <w:rFonts w:ascii="Times New Roman" w:cs="Times New Roman" w:eastAsia="Times New Roman" w:hAnsi="Times New Roman"/>
          <w:sz w:val="22"/>
          <w:szCs w:val="22"/>
          <w:color w:val="auto"/>
        </w:rPr>
        <w:t>practices that it uses with respect to its own Confidential Information, but in no event less than a commercially reasonable standard of care. The obligations of confidentiality, non-disclosure and non-use under this Section 9.1 will be in full force and effect from the Effective Date until [**] following the Term. Confidential Information excludes any information that the Receiving Party can establish by competent proof:</w:t>
      </w:r>
    </w:p>
    <w:p>
      <w:pPr>
        <w:spacing w:after="0" w:line="180" w:lineRule="exact"/>
        <w:rPr>
          <w:sz w:val="20"/>
          <w:szCs w:val="20"/>
          <w:color w:val="auto"/>
        </w:rPr>
      </w:pPr>
    </w:p>
    <w:p>
      <w:pPr>
        <w:ind w:firstLine="2254"/>
        <w:spacing w:after="0" w:line="282" w:lineRule="auto"/>
        <w:tabs>
          <w:tab w:leader="none" w:pos="2546"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was already known to the Receiving Party without an obligation of confidentiality or non-use, at the time of disclosure by the Disclosing Party to the Receiving Party, as evidenced by the Receiving Party’s prior written records;</w:t>
      </w:r>
    </w:p>
    <w:p>
      <w:pPr>
        <w:spacing w:after="0" w:line="134" w:lineRule="exact"/>
        <w:rPr>
          <w:rFonts w:ascii="Times New Roman" w:cs="Times New Roman" w:eastAsia="Times New Roman" w:hAnsi="Times New Roman"/>
          <w:sz w:val="21"/>
          <w:szCs w:val="21"/>
          <w:color w:val="auto"/>
        </w:rPr>
      </w:pPr>
    </w:p>
    <w:p>
      <w:pPr>
        <w:ind w:firstLine="2254"/>
        <w:spacing w:after="0" w:line="258" w:lineRule="auto"/>
        <w:tabs>
          <w:tab w:leader="none" w:pos="254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generally available to the public or otherwise part of the public domain at the time of its disclosure to the Receiving Party;</w:t>
      </w:r>
    </w:p>
    <w:p>
      <w:pPr>
        <w:spacing w:after="0" w:line="158"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became generally available to the public or otherwise part of the public domain after its disclosure to the Receiving Party by the Disclosing Party other than through any act or omission of the Receiving Party in breach of this Agreement by the Receiving Party;</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independently developed by the Receiving Party without reference to or any use of Confidential Information of the Disclosing Party disclosed to the Receiving Party as demonstrated by documented evidence prepared contemporaneously with such independent development by the Receiving Party; or</w:t>
      </w:r>
    </w:p>
    <w:p>
      <w:pPr>
        <w:spacing w:after="0" w:line="173"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disclosed to the Receiving Party, other than under an obligation of confidentiality or non-use, by a Third Party who had no direct or indirect obligation to the Disclosing Party not to disclose such information to the Receiving Party.</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Specific aspects or details of Confidential Information shall not be deemed to be within the public domain or in the possession of the Receiving Party merely because such Confidential Information is embraced by more general information in the public domain or in the possession of the Receiving Party. Further, any combination of Confidential Information shall not be considered in the public domain or in the possession of the Receiving Party merely because individual elements of such Confidential Information are in the public domain or in the possession of the Receiving Party unless the combination is in the public domain or in the possession of the Receiving Party.</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9.2</w:t>
      </w:r>
      <w:r>
        <w:rPr>
          <w:rFonts w:ascii="Times New Roman" w:cs="Times New Roman" w:eastAsia="Times New Roman" w:hAnsi="Times New Roman"/>
          <w:sz w:val="22"/>
          <w:szCs w:val="22"/>
          <w:b w:val="1"/>
          <w:bCs w:val="1"/>
          <w:color w:val="auto"/>
        </w:rPr>
        <w:t>Permitted Use and Disclosures</w:t>
      </w:r>
      <w:r>
        <w:rPr>
          <w:rFonts w:ascii="Times New Roman" w:cs="Times New Roman" w:eastAsia="Times New Roman" w:hAnsi="Times New Roman"/>
          <w:sz w:val="22"/>
          <w:szCs w:val="22"/>
          <w:color w:val="auto"/>
        </w:rPr>
        <w:t>. A Receiving Party may use or disclose Confidential Information of the Disclosing Party to the extent such use or disclosure is reasonably necessary in the following instances:</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9.2.1 filing, prosecuting, defending or enforcing Patents as permitted by this Agreement;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9.2.2 enforcing such Receiving Party’s rights or performing its obligations under this Agreement and, with respect to IMSCP, exercising its rights under this Agreement;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9.2.3 prosecuting or defending litigation as permitted by this Agreement;</w:t>
      </w:r>
    </w:p>
    <w:p>
      <w:pPr>
        <w:spacing w:after="0" w:line="20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Exhibit A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20" w:name="page221"/>
    <w:bookmarkEnd w:id="220"/>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9.2.4 complying with applicable court orders, Applicable Laws, or the listing rules of any recognized stock exchange on which the Receiving Party’s securities are traded (specifically including the recommendations and requests from the U.S.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or otherwise submitting information to tax or other Governmental Authorities);</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9.2.5 disclosure to the Receiving Party’s Affiliates, to actual or potential (sub)licensees and to the Receiving Party’s and its Affiliates’ Representatives who, in each case, have a need to know such information in order for the Receiving Party to fulfill its obligations and exercise its rights under this Agreement, provided, in each case, that any such Affiliate, actual or potential (sub)licensees, or Representatives agrees to be bound by terms of confidentiality and non-use at least as restrictive as those set forth in this Article 9;</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9.2.6 disclosure to Third Parties in connection with due diligence or similar investigations by such Third Parties, and disclosure to potential and existing Third Party investors, collaborators, acquirers, lenders and other financing sources, provided, in each case, that any such Third Party agrees to be bound by reasonable obligations of confidentiality and non-use with respect to the applicable Confidential Information.</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Party shall be responsible for any breaches of confidentiality by any of its Affiliates, licensees or sublicensees, Representatives, advisors and Third Parties (to whom it discloses Confidential Information pursuant to Sections 9.2.5, 9.2.6, and 9.3); and</w:t>
      </w:r>
    </w:p>
    <w:p>
      <w:pPr>
        <w:spacing w:after="0" w:line="20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9.2.7 in the case of Cue, to [**], provided that [**] is under an agreement containing reasonable and customary restrictions on disclosure and non-use.</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Notwithstanding any provision of this Agreement to the contrary, in the event a Receiving Party is required to make a disclosure of the Disclosing Party’s Confidential Information pursuant to Section 9.2.3 or Section 9.2.4, it will, except where impracticable, give reasonable advance notice to the Disclosing Party of such disclosure and use efforts to secure confidential treatment of such Confidential Information at least as diligent as such Party would use to protect its own Confidential Information, provide the Disclosing Party with the opportunity to obtain a protective or other order to prevent such disclosure, and keep any such disclosure to a minimum. The actions and inactions of any Person to whom the Receiving Party discloses the Disclosing Party’s Confidential Information, shall, with respect to such Confidential Information, be deemed to be the actions and inactions of such Receiving Party for all purposes of this Agreement.</w:t>
      </w:r>
    </w:p>
    <w:p>
      <w:pPr>
        <w:spacing w:after="0" w:line="17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color w:val="auto"/>
        </w:rPr>
        <w:t>9.3</w:t>
      </w:r>
      <w:r>
        <w:rPr>
          <w:rFonts w:ascii="Times New Roman" w:cs="Times New Roman" w:eastAsia="Times New Roman" w:hAnsi="Times New Roman"/>
          <w:sz w:val="21"/>
          <w:szCs w:val="21"/>
          <w:b w:val="1"/>
          <w:bCs w:val="1"/>
          <w:color w:val="auto"/>
        </w:rPr>
        <w:t>Nondisclosure of Terms</w:t>
      </w:r>
      <w:r>
        <w:rPr>
          <w:rFonts w:ascii="Times New Roman" w:cs="Times New Roman" w:eastAsia="Times New Roman" w:hAnsi="Times New Roman"/>
          <w:sz w:val="21"/>
          <w:szCs w:val="21"/>
          <w:color w:val="auto"/>
        </w:rPr>
        <w:t>. Each of the Parties agrees not to disclose the terms of this Agreement to any Third Party without the prior written consent of the other Party; provided, however</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21"/>
          <w:szCs w:val="21"/>
          <w:color w:val="auto"/>
        </w:rPr>
        <w:t xml:space="preserve"> that a Party may disclose the terms of this Agreement without the consent of the other Party to: (a) the extent required by Applicable Law or the rules of an applicable stock exchange,</w:t>
      </w:r>
    </w:p>
    <w:p>
      <w:pPr>
        <w:spacing w:after="0" w:line="2" w:lineRule="exact"/>
        <w:rPr>
          <w:sz w:val="20"/>
          <w:szCs w:val="20"/>
          <w:color w:val="auto"/>
        </w:rPr>
      </w:pPr>
    </w:p>
    <w:p>
      <w:pPr>
        <w:jc w:val="both"/>
        <w:ind w:firstLine="8"/>
        <w:spacing w:after="0" w:line="234" w:lineRule="auto"/>
        <w:tabs>
          <w:tab w:leader="none" w:pos="37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Party’s Third Party attorneys, advisors and investors on a need to know basis, (c) Third Parties in connection with due diligence or similar investigations by such Third Parties with respect to a potential transaction involving such Third Party and the Receiving Party or any of its Affiliates, and (d) actual or potential Third Party investors, acquirers or collaborators and in the case of Cue, to [**] provided that, in each case, the Party making such disclosure shall ensure that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21" w:name="page222"/>
    <w:bookmarkEnd w:id="221"/>
    <w:p>
      <w:pPr>
        <w:jc w:val="both"/>
        <w:spacing w:after="0" w:line="258" w:lineRule="auto"/>
        <w:rPr>
          <w:sz w:val="20"/>
          <w:szCs w:val="20"/>
          <w:color w:val="auto"/>
        </w:rPr>
      </w:pPr>
      <w:r>
        <w:rPr>
          <w:rFonts w:ascii="Times New Roman" w:cs="Times New Roman" w:eastAsia="Times New Roman" w:hAnsi="Times New Roman"/>
          <w:sz w:val="22"/>
          <w:szCs w:val="22"/>
          <w:color w:val="auto"/>
        </w:rPr>
        <w:t>such disclosure is made to Third Parties that are either under professional codes of conduct giving rise to expectations of confidentiality and non-use or under an agreement containing reasonable and customary restrictions on disclosure and non-use.</w:t>
      </w:r>
    </w:p>
    <w:p>
      <w:pPr>
        <w:spacing w:after="0" w:line="15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9.4</w:t>
      </w:r>
      <w:r>
        <w:rPr>
          <w:rFonts w:ascii="Times New Roman" w:cs="Times New Roman" w:eastAsia="Times New Roman" w:hAnsi="Times New Roman"/>
          <w:sz w:val="22"/>
          <w:szCs w:val="22"/>
          <w:b w:val="1"/>
          <w:bCs w:val="1"/>
          <w:color w:val="auto"/>
        </w:rPr>
        <w:t>Public Announcement</w:t>
      </w:r>
      <w:r>
        <w:rPr>
          <w:rFonts w:ascii="Times New Roman" w:cs="Times New Roman" w:eastAsia="Times New Roman" w:hAnsi="Times New Roman"/>
          <w:sz w:val="22"/>
          <w:szCs w:val="22"/>
          <w:color w:val="auto"/>
        </w:rPr>
        <w:t>. On or following the Effective Date, Cue shall have the right to issue a press release announcing the execution of this Agreement in substantially the form attached hereto as Exhibit 9.4. In the event that either Party wishes to issue any additional or further press releases with respect to the subject matter of this Agreement, such Party shall give the other Party reasonable advance notice of the proposed release, and, except to the extent such disclosure is required by Applicable Law or the rules of an applicable securities exchange, shall obtain the prior written approval of the other Party (which such approval shall not be unreasonably withheld or delayed). For clarity, no further approval of the other Party will be required for the public disclosure of any information disclosed in a Publication, press release, or other public disclosure made in accordance with this Agreement.</w:t>
      </w:r>
    </w:p>
    <w:p>
      <w:pPr>
        <w:spacing w:after="0" w:line="17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9.5</w:t>
      </w:r>
      <w:r>
        <w:rPr>
          <w:rFonts w:ascii="Times New Roman" w:cs="Times New Roman" w:eastAsia="Times New Roman" w:hAnsi="Times New Roman"/>
          <w:sz w:val="22"/>
          <w:szCs w:val="22"/>
          <w:b w:val="1"/>
          <w:bCs w:val="1"/>
          <w:color w:val="auto"/>
        </w:rPr>
        <w:t>Publications</w:t>
      </w:r>
      <w:r>
        <w:rPr>
          <w:rFonts w:ascii="Times New Roman" w:cs="Times New Roman" w:eastAsia="Times New Roman" w:hAnsi="Times New Roman"/>
          <w:sz w:val="22"/>
          <w:szCs w:val="22"/>
          <w:color w:val="auto"/>
        </w:rPr>
        <w:t>. Neither Party shall publicly present or publish results of studies with respect to a Licensed Molecule or Licensed Product (each such presentation or publication, a “</w:t>
      </w:r>
      <w:r>
        <w:rPr>
          <w:rFonts w:ascii="Times New Roman" w:cs="Times New Roman" w:eastAsia="Times New Roman" w:hAnsi="Times New Roman"/>
          <w:sz w:val="22"/>
          <w:szCs w:val="22"/>
          <w:b w:val="1"/>
          <w:bCs w:val="1"/>
          <w:color w:val="auto"/>
        </w:rPr>
        <w:t>Publication</w:t>
      </w:r>
      <w:r>
        <w:rPr>
          <w:rFonts w:ascii="Times New Roman" w:cs="Times New Roman" w:eastAsia="Times New Roman" w:hAnsi="Times New Roman"/>
          <w:sz w:val="22"/>
          <w:szCs w:val="22"/>
          <w:color w:val="auto"/>
        </w:rPr>
        <w:t>”) without the opportunity for prior review by the other Party. The submitting Party shall provide the other Party the opportunity to review any proposed Publication at least [**] prior to the earlier of its presentation or intended submission for publication. The submitting Party agrees, upon request by the other Party, not to submit or present any Publication until the other Party has had [**] to comment on any material in such Publication. The submitting Party shall consider the comments of the other Party in good faith, but will retain the sole authority to submit the manuscript for Publication; provided that the submitting Party agrees to delay such Publication as necessary to enable a Party to file a Patent in accordance with Section 8.2 if such Publication might adversely affect such Patent. The submitting Party shall provide the other Party a copy of the Publication at the time of the submission or presentation. Notwithstanding any provision of this Agreement to the contrary, neither Party shall have the right, without the other Party’s consent, to publish or present in a Publication (a) the other Party’s Confidential Information without the other Party’s consent or as expressly authorized under this Article 9 or (b) the Joint Existing Know-How or Joint Collaboration Know-How. Each Party agrees to acknowledge the contributions of the other Party, and the employees of the other Party, in all Publications as scientifically appropriate. Notwithstanding any provision of this Agreement to the contrary, Publications exclude: (i) Patents filed, prosecuted or maintained in accordance with Section 8.2 and (ii) any public disclosure that a Party is required to make under Applicable Law or the rules of an applicable stock exchange.</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9.6</w:t>
      </w:r>
      <w:r>
        <w:rPr>
          <w:rFonts w:ascii="Times New Roman" w:cs="Times New Roman" w:eastAsia="Times New Roman" w:hAnsi="Times New Roman"/>
          <w:sz w:val="22"/>
          <w:szCs w:val="22"/>
          <w:b w:val="1"/>
          <w:bCs w:val="1"/>
          <w:color w:val="auto"/>
        </w:rPr>
        <w:t>Material Transfer</w:t>
      </w:r>
      <w:r>
        <w:rPr>
          <w:rFonts w:ascii="Times New Roman" w:cs="Times New Roman" w:eastAsia="Times New Roman" w:hAnsi="Times New Roman"/>
          <w:sz w:val="22"/>
          <w:szCs w:val="22"/>
          <w:color w:val="auto"/>
        </w:rPr>
        <w:t>. All materials provided by a Party, directly or indirectly, to the other Party in connection with this Agreement (such materials, together with any progeny, derivatives or modifications of such materials that are made by or under the authority of such other Party, “</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shall remain the property of, and be deemed Confidential Information exclusively of (and deemed disclosed solely by) the Party providing such Materials.</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9.7</w:t>
      </w:r>
      <w:r>
        <w:rPr>
          <w:rFonts w:ascii="Times New Roman" w:cs="Times New Roman" w:eastAsia="Times New Roman" w:hAnsi="Times New Roman"/>
          <w:sz w:val="22"/>
          <w:szCs w:val="22"/>
          <w:b w:val="1"/>
          <w:bCs w:val="1"/>
          <w:color w:val="auto"/>
        </w:rPr>
        <w:t>Termination of Prior CDA and Prior MTAs</w:t>
      </w:r>
      <w:r>
        <w:rPr>
          <w:rFonts w:ascii="Times New Roman" w:cs="Times New Roman" w:eastAsia="Times New Roman" w:hAnsi="Times New Roman"/>
          <w:sz w:val="22"/>
          <w:szCs w:val="22"/>
          <w:color w:val="auto"/>
        </w:rPr>
        <w:t>. This Agreement terminates, as of the Effective Date, the Prior CDA and Prior MTAs. All Confidential Information exchanged between the Parties under the Prior CDA and all confidential information exchanged between the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22" w:name="page223"/>
    <w:bookmarkEnd w:id="222"/>
    <w:p>
      <w:pPr>
        <w:jc w:val="both"/>
        <w:spacing w:after="0" w:line="244" w:lineRule="auto"/>
        <w:rPr>
          <w:sz w:val="20"/>
          <w:szCs w:val="20"/>
          <w:color w:val="auto"/>
        </w:rPr>
      </w:pPr>
      <w:r>
        <w:rPr>
          <w:rFonts w:ascii="Times New Roman" w:cs="Times New Roman" w:eastAsia="Times New Roman" w:hAnsi="Times New Roman"/>
          <w:sz w:val="22"/>
          <w:szCs w:val="22"/>
          <w:color w:val="auto"/>
        </w:rPr>
        <w:t>Parties under the Prior MTAs shall be deemed Confidential Information of the corresponding Party under this Agreement (with the mutual understanding and agreement that any use or disclosure thereof that is authorized under Article 9 shall not be restricted by, or be deemed a violation of, such Prior CDA) and shall be subject to the terms of this Article 9.</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COVENANTS</w:t>
      </w:r>
    </w:p>
    <w:p>
      <w:pPr>
        <w:spacing w:after="0" w:line="17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10.1</w:t>
      </w:r>
      <w:r>
        <w:rPr>
          <w:rFonts w:ascii="Times New Roman" w:cs="Times New Roman" w:eastAsia="Times New Roman" w:hAnsi="Times New Roman"/>
          <w:sz w:val="22"/>
          <w:szCs w:val="22"/>
          <w:b w:val="1"/>
          <w:bCs w:val="1"/>
          <w:color w:val="auto"/>
        </w:rPr>
        <w:t>Mutual Representations and Warranties of Each Party</w:t>
      </w:r>
      <w:r>
        <w:rPr>
          <w:rFonts w:ascii="Times New Roman" w:cs="Times New Roman" w:eastAsia="Times New Roman" w:hAnsi="Times New Roman"/>
          <w:sz w:val="22"/>
          <w:szCs w:val="22"/>
          <w:color w:val="auto"/>
        </w:rPr>
        <w:t>. Each of IMSCP and Cue hereby represents and warrants to the other Party hereto, as of the Effective Date, as follows:</w:t>
      </w:r>
    </w:p>
    <w:p>
      <w:pPr>
        <w:spacing w:after="0" w:line="154"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10.1.1It is a corporation duly organized and validly existing under the laws of the state or other jurisdiction of its incorporation or formation;</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10.1.2The execution, delivery and performance of this Agreement by such Party has been duly authorized by all requisite corporate action and Applicable Laws;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10.1.3This Agreement is a legal and valid obligation binding upon it and enforceable in accordance with 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10.1.4It has the legal power and authority to enter into this Agreement and to perform all of its obligations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hereunder; and</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10.1.5It has the legal power and authority to grant the rights and licenses granted and purported to be granted by it to the other Party pursuant to this Agreement.</w:t>
      </w:r>
    </w:p>
    <w:p>
      <w:pPr>
        <w:spacing w:after="0" w:line="154"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10.2</w:t>
      </w:r>
      <w:r>
        <w:rPr>
          <w:rFonts w:ascii="Times New Roman" w:cs="Times New Roman" w:eastAsia="Times New Roman" w:hAnsi="Times New Roman"/>
          <w:sz w:val="22"/>
          <w:szCs w:val="22"/>
          <w:b w:val="1"/>
          <w:bCs w:val="1"/>
          <w:color w:val="auto"/>
        </w:rPr>
        <w:t>Representations and Warranties of IMSCP</w:t>
      </w:r>
      <w:r>
        <w:rPr>
          <w:rFonts w:ascii="Times New Roman" w:cs="Times New Roman" w:eastAsia="Times New Roman" w:hAnsi="Times New Roman"/>
          <w:sz w:val="22"/>
          <w:szCs w:val="22"/>
          <w:color w:val="auto"/>
        </w:rPr>
        <w:t>. IMSCP hereby represents and warrants to Cue, as of the Effective Date, as follows:</w:t>
      </w:r>
    </w:p>
    <w:p>
      <w:pPr>
        <w:spacing w:after="0" w:line="15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10.2.1IMSCP has complied with all U.S. and applicable foreign export and reexport control laws and regulations, including but not limited to the Export Administration Regulations (“</w:t>
      </w:r>
      <w:r>
        <w:rPr>
          <w:rFonts w:ascii="Times New Roman" w:cs="Times New Roman" w:eastAsia="Times New Roman" w:hAnsi="Times New Roman"/>
          <w:sz w:val="22"/>
          <w:szCs w:val="22"/>
          <w:b w:val="1"/>
          <w:bCs w:val="1"/>
          <w:color w:val="auto"/>
        </w:rPr>
        <w:t>EAR</w:t>
      </w:r>
      <w:r>
        <w:rPr>
          <w:rFonts w:ascii="Times New Roman" w:cs="Times New Roman" w:eastAsia="Times New Roman" w:hAnsi="Times New Roman"/>
          <w:sz w:val="22"/>
          <w:szCs w:val="22"/>
          <w:color w:val="auto"/>
        </w:rPr>
        <w:t>”) maintained by the U.S. Department of Commerce and trade and economic sanctions maintained by the U.S. Treasury Department’s Office of Foreign Assets Control (“</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10.2.2None of IMSCP officers, directors, employees, agents, representatives, independent contractors, or any other person acting for or on behalf of IMSCP for performance of this Agreement is: (a) a person or entity with whom transactions are prohibited or limited under any Applicable Laws pertaining to sanctions, including those administered by the United States including, but not limited to, the United States Office of Foreign Asset Control’s Specially Designated Nationals and Blocked Persons List (“</w:t>
      </w:r>
      <w:r>
        <w:rPr>
          <w:rFonts w:ascii="Times New Roman" w:cs="Times New Roman" w:eastAsia="Times New Roman" w:hAnsi="Times New Roman"/>
          <w:sz w:val="22"/>
          <w:szCs w:val="22"/>
          <w:b w:val="1"/>
          <w:bCs w:val="1"/>
          <w:color w:val="auto"/>
        </w:rPr>
        <w:t>SDN List</w:t>
      </w:r>
      <w:r>
        <w:rPr>
          <w:rFonts w:ascii="Times New Roman" w:cs="Times New Roman" w:eastAsia="Times New Roman" w:hAnsi="Times New Roman"/>
          <w:sz w:val="22"/>
          <w:szCs w:val="22"/>
          <w:color w:val="auto"/>
        </w:rPr>
        <w:t>”) or the United States Department of Commerce’s Entity List, Denied Persons List, Unverified List or Military End User List or included on comparable sanction lists of prohibited or restricted persons administered by the government of another applicable foreign jurisdiction; or (b) a person or entity resident in, located in, or a government of a sanctioned country or territory as defined under Applicable Laws pertaining to sanctions (which currently include Belarus, Cuba, Iran, North Korea, Russia, Syria,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22"/>
          <w:szCs w:val="22"/>
          <w:color w:val="auto"/>
        </w:rPr>
        <w:t>and the Crimea, LNR, and DNR regions of Ukraine) (“</w:t>
      </w:r>
      <w:r>
        <w:rPr>
          <w:rFonts w:ascii="Times New Roman" w:cs="Times New Roman" w:eastAsia="Times New Roman" w:hAnsi="Times New Roman"/>
          <w:sz w:val="22"/>
          <w:szCs w:val="22"/>
          <w:b w:val="1"/>
          <w:bCs w:val="1"/>
          <w:color w:val="auto"/>
        </w:rPr>
        <w:t>Sanctioned Country</w:t>
      </w:r>
      <w:r>
        <w:rPr>
          <w:rFonts w:ascii="Times New Roman" w:cs="Times New Roman" w:eastAsia="Times New Roman" w:hAnsi="Times New Roman"/>
          <w:sz w:val="22"/>
          <w:szCs w:val="22"/>
          <w:color w:val="auto"/>
        </w:rPr>
        <w:t>”) (collectively, a “</w:t>
      </w:r>
      <w:r>
        <w:rPr>
          <w:rFonts w:ascii="Times New Roman" w:cs="Times New Roman" w:eastAsia="Times New Roman" w:hAnsi="Times New Roman"/>
          <w:sz w:val="22"/>
          <w:szCs w:val="22"/>
          <w:b w:val="1"/>
          <w:bCs w:val="1"/>
          <w:color w:val="auto"/>
        </w:rPr>
        <w:t>Restricted Party</w:t>
      </w:r>
      <w:r>
        <w:rPr>
          <w:rFonts w:ascii="Times New Roman" w:cs="Times New Roman" w:eastAsia="Times New Roman" w:hAnsi="Times New Roman"/>
          <w:sz w:val="22"/>
          <w:szCs w:val="22"/>
          <w:color w:val="auto"/>
        </w:rPr>
        <w:t>”); and</w:t>
      </w:r>
    </w:p>
    <w:p>
      <w:pPr>
        <w:spacing w:after="0" w:line="21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10.2.3The IMSCP Licensed IP provided by IMSCP under this Agreement is not sourced from a Restricted Party or a Sanctioned Country.</w:t>
      </w:r>
    </w:p>
    <w:p>
      <w:pPr>
        <w:spacing w:after="0" w:line="15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10.3</w:t>
      </w:r>
      <w:r>
        <w:rPr>
          <w:rFonts w:ascii="Times New Roman" w:cs="Times New Roman" w:eastAsia="Times New Roman" w:hAnsi="Times New Roman"/>
          <w:sz w:val="22"/>
          <w:szCs w:val="22"/>
          <w:b w:val="1"/>
          <w:bCs w:val="1"/>
          <w:color w:val="auto"/>
        </w:rPr>
        <w:t>Representations and Warranties of Cue</w:t>
      </w:r>
      <w:r>
        <w:rPr>
          <w:rFonts w:ascii="Times New Roman" w:cs="Times New Roman" w:eastAsia="Times New Roman" w:hAnsi="Times New Roman"/>
          <w:sz w:val="22"/>
          <w:szCs w:val="22"/>
          <w:color w:val="auto"/>
        </w:rPr>
        <w:t>. Cue hereby represents and warrants to IMSCP, as of the Effective Date, as follows:</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10.3.1Cue has the right to grant the license granted to IMSCP hereunder;</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10.3.2To its Knowledge, Cue has complied with all Applicable Laws in connection with the prosecution of the Cue Patents, including any disclosure requirements of the United States Patent and Trademark Office and any foreign patent office, and has timely paid all filing and renewal fees payable with respect thereto;</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10.3.3To its Knowledge, there is no settled, pending, or threatened litigation, claim, or proceeding alleging that any Cue Patent is invalid or unenforceable (including any interference, nullity, opposition, inter partes, or post-grant review or similar invalidity or patentability proceedings before the United States Patent and Trademark Office or any foreign patent office), or that the CUE-100 Series Subject Molecules or any Exploitation thereof does or would infringe on the intellectual property rights of any Third Party;</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10.3.4To its Knowledge, the [**] License Agreement and the [**] Agreement, each in the form provided to IMSCP, are in full force and effect without any default or breach thereunder by any party thereto; and</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10.3.5Other than the [**] Agreement, Cue is not party to any assignment, transfer, license, conveyance, encumbrance, or other agreement, in each case, that would conflict with the rights and licenses granted to IMSCP under this Agreement, and Cue has not granted, and is not under any obligation to grant, to any Third Party any license, lien, option, encumbrance, or other contingent or non-contingent right, title, or interest in or to the Cue Patents that conflicts with the rights and licenses granted to IMSCP hereunder (other than [**], which is subject to the [**].</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10.4</w:t>
      </w:r>
      <w:r>
        <w:rPr>
          <w:rFonts w:ascii="Times New Roman" w:cs="Times New Roman" w:eastAsia="Times New Roman" w:hAnsi="Times New Roman"/>
          <w:sz w:val="22"/>
          <w:szCs w:val="22"/>
          <w:b w:val="1"/>
          <w:bCs w:val="1"/>
          <w:color w:val="auto"/>
        </w:rPr>
        <w:t>Mutual Covenants of Each Party</w:t>
      </w:r>
      <w:r>
        <w:rPr>
          <w:rFonts w:ascii="Times New Roman" w:cs="Times New Roman" w:eastAsia="Times New Roman" w:hAnsi="Times New Roman"/>
          <w:sz w:val="22"/>
          <w:szCs w:val="22"/>
          <w:color w:val="auto"/>
        </w:rPr>
        <w:t>. Each Party hereby covenants to the other Party that such Party:</w:t>
      </w:r>
    </w:p>
    <w:p>
      <w:pPr>
        <w:spacing w:after="0" w:line="21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10.4.1shall not enter into any assignment, transfer, license, conveyance or encumbrance, in each case, that would conflict with the rights and licenses granted by such Party to such other Party under this Agreement;</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10.4.2shall not use any employee or consultant that is debarred by any Regulatory Authority or, to such Party’s Knowledge, is the subject of debarment proceedings by any Regulatory Authority;</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10.4.3perform, and shall use reasonable efforts to ensure that its Affiliates, (sub)licensees, and Representatives perform, all Research, Development and Commercialization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24" w:name="page225"/>
    <w:bookmarkEnd w:id="224"/>
    <w:p>
      <w:pPr>
        <w:jc w:val="both"/>
        <w:spacing w:after="0" w:line="258" w:lineRule="auto"/>
        <w:rPr>
          <w:sz w:val="20"/>
          <w:szCs w:val="20"/>
          <w:color w:val="auto"/>
        </w:rPr>
      </w:pPr>
      <w:r>
        <w:rPr>
          <w:rFonts w:ascii="Times New Roman" w:cs="Times New Roman" w:eastAsia="Times New Roman" w:hAnsi="Times New Roman"/>
          <w:sz w:val="22"/>
          <w:szCs w:val="22"/>
          <w:color w:val="auto"/>
        </w:rPr>
        <w:t>activities with respect to each Licensed Molecule and Licensed Product in good scientific manner, and in compliance in all material respects with Applicable Law; and</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10.4.4and its Affiliates are in compliance with, and at all times during the Term shall remain in compliance with, all antibribery or anticorruption laws, including the U.S. Foreign Corrupt Practices Act of 1977, as amended (“</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 Neither such Party nor any of its Affiliates has or will, in connection with the exercise of such Party’s rights or performance of its obligations under this Agreement, authorized, offered or made payments or otherwise provided anything of value directly or indirectly to: (a) an executive, official, employee or agent of a governmental department, agency or instrumentality, (b) a director, officer, employee or agent of a wholly or partially government-owned or government-controlled company or business,</w:t>
      </w:r>
    </w:p>
    <w:p>
      <w:pPr>
        <w:spacing w:after="0" w:line="2" w:lineRule="exact"/>
        <w:rPr>
          <w:sz w:val="20"/>
          <w:szCs w:val="20"/>
          <w:color w:val="auto"/>
        </w:rPr>
      </w:pPr>
    </w:p>
    <w:p>
      <w:pPr>
        <w:jc w:val="both"/>
        <w:ind w:firstLine="8"/>
        <w:spacing w:after="0" w:line="241" w:lineRule="auto"/>
        <w:tabs>
          <w:tab w:leader="none" w:pos="296"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political party or official thereof, or candidate for political office, or (d) an executive, official, employee or agent of a public international organization (e.g., the International Monetary Fund or the World Bank) (“</w:t>
      </w:r>
      <w:r>
        <w:rPr>
          <w:rFonts w:ascii="Times New Roman" w:cs="Times New Roman" w:eastAsia="Times New Roman" w:hAnsi="Times New Roman"/>
          <w:sz w:val="21"/>
          <w:szCs w:val="21"/>
          <w:b w:val="1"/>
          <w:bCs w:val="1"/>
          <w:color w:val="auto"/>
        </w:rPr>
        <w:t>Government Official</w:t>
      </w:r>
      <w:r>
        <w:rPr>
          <w:rFonts w:ascii="Times New Roman" w:cs="Times New Roman" w:eastAsia="Times New Roman" w:hAnsi="Times New Roman"/>
          <w:sz w:val="21"/>
          <w:szCs w:val="21"/>
          <w:color w:val="auto"/>
        </w:rPr>
        <w:t>”) for purposes of</w:t>
      </w:r>
    </w:p>
    <w:p>
      <w:pPr>
        <w:spacing w:after="0" w:line="1" w:lineRule="exact"/>
        <w:rPr>
          <w:rFonts w:ascii="Times New Roman" w:cs="Times New Roman" w:eastAsia="Times New Roman" w:hAnsi="Times New Roman"/>
          <w:sz w:val="21"/>
          <w:szCs w:val="21"/>
          <w:color w:val="auto"/>
        </w:rPr>
      </w:pPr>
    </w:p>
    <w:p>
      <w:pPr>
        <w:jc w:val="both"/>
        <w:ind w:firstLine="8"/>
        <w:spacing w:after="0" w:line="234" w:lineRule="auto"/>
        <w:tabs>
          <w:tab w:leader="none" w:pos="267"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improperly influencing any act or decision of such Government Official in his or her official capacity, (B) inducing such Government Official to do or omit to do any act in violation of the lawful duty of such Government Official, or (C) securing any improper advantage; or (ii) inducing such Government Official improperly to use his or her influence in order to assist such Party or any of its Affiliates in obtaining or retaining business.</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10.5</w:t>
      </w:r>
      <w:r>
        <w:rPr>
          <w:rFonts w:ascii="Times New Roman" w:cs="Times New Roman" w:eastAsia="Times New Roman" w:hAnsi="Times New Roman"/>
          <w:sz w:val="22"/>
          <w:szCs w:val="22"/>
          <w:b w:val="1"/>
          <w:bCs w:val="1"/>
          <w:color w:val="auto"/>
        </w:rPr>
        <w:t>Disclaimer</w:t>
      </w:r>
      <w:r>
        <w:rPr>
          <w:rFonts w:ascii="Times New Roman" w:cs="Times New Roman" w:eastAsia="Times New Roman" w:hAnsi="Times New Roman"/>
          <w:sz w:val="22"/>
          <w:szCs w:val="22"/>
          <w:color w:val="auto"/>
        </w:rPr>
        <w:t>. EXCEPT AS OTHERWISE EXPRESSLY SET FORTH IN THIS AGREEMENT, NEITHER CUE NOR IMSCP MAKES ANY REPRESENTATIONS OR EXTENDS ANY WARRANTIES OR CONDITIONS OF ANY KIND, EITHER EXPRESS OR IMPLIED, INCLUDING, BUT NOT LIMITED TO, WARRANTIES OF MERCHANTABILITY, FITNESS FOR A PARTICULAR PURPOSE, VALIDITY OF ANY TECHNOLOGY, PATENTED OR UNPATENTED, OR NONINFRINGEMENT OF THE INTELLECTUAL PROPERTY RIGHTS OF THIRD PARTIES.</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10.6</w:t>
      </w:r>
      <w:r>
        <w:rPr>
          <w:rFonts w:ascii="Times New Roman" w:cs="Times New Roman" w:eastAsia="Times New Roman" w:hAnsi="Times New Roman"/>
          <w:sz w:val="22"/>
          <w:szCs w:val="22"/>
          <w:b w:val="1"/>
          <w:bCs w:val="1"/>
          <w:color w:val="auto"/>
        </w:rPr>
        <w:t>Limitation of Liability</w:t>
      </w:r>
      <w:r>
        <w:rPr>
          <w:rFonts w:ascii="Times New Roman" w:cs="Times New Roman" w:eastAsia="Times New Roman" w:hAnsi="Times New Roman"/>
          <w:sz w:val="22"/>
          <w:szCs w:val="22"/>
          <w:color w:val="auto"/>
        </w:rPr>
        <w:t>. EXCEPT: (A) FOR FRAUD OR WILLFUL MISCONDUCT, (B) FOR A PARTY’S BREACH OF ITS OBLIGATIONS UNDER ARTICLE 9 AND (C) TO THE EXTENT ANY SUCH DAMAGES ARE REQUIRED TO BE PAID TO A THIRD PARTY AS PART OF A CLAIM FOR WHICH A PARTY PROVIDES INDEMNIFICATION UNDER ARTICLE 11, NEITHER PARTY, NOR ANY OF THEIR RESPECTIVE AFFILIATES, NOR ANY OF THEIR RESPECTIVE DIRECTORS, OFFICERS, MEMBERS, EMPLOYEES OR AGENTS, SHALL HAVE ANY LIABILITY OF ANY TYPE FOR ANY SPECIAL, PUNITIVE OR CONSEQUENTIAL DAMAGES IN CONNECTION WITH OR ARISING OUT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11.1</w:t>
      </w:r>
      <w:r>
        <w:rPr>
          <w:rFonts w:ascii="Times New Roman" w:cs="Times New Roman" w:eastAsia="Times New Roman" w:hAnsi="Times New Roman"/>
          <w:sz w:val="22"/>
          <w:szCs w:val="22"/>
          <w:b w:val="1"/>
          <w:bCs w:val="1"/>
          <w:color w:val="auto"/>
        </w:rPr>
        <w:t>By IMSCP</w:t>
      </w:r>
      <w:r>
        <w:rPr>
          <w:rFonts w:ascii="Times New Roman" w:cs="Times New Roman" w:eastAsia="Times New Roman" w:hAnsi="Times New Roman"/>
          <w:sz w:val="22"/>
          <w:szCs w:val="22"/>
          <w:color w:val="auto"/>
        </w:rPr>
        <w:t>. IMSCP agrees to indemnify and defend Cue, its Affiliates and its and their directors, officers, employees, agents, contractors and other representatives (the “</w:t>
      </w:r>
      <w:r>
        <w:rPr>
          <w:rFonts w:ascii="Times New Roman" w:cs="Times New Roman" w:eastAsia="Times New Roman" w:hAnsi="Times New Roman"/>
          <w:sz w:val="22"/>
          <w:szCs w:val="22"/>
          <w:b w:val="1"/>
          <w:bCs w:val="1"/>
          <w:color w:val="auto"/>
        </w:rPr>
        <w:t>Cue Indemnitees</w:t>
      </w:r>
      <w:r>
        <w:rPr>
          <w:rFonts w:ascii="Times New Roman" w:cs="Times New Roman" w:eastAsia="Times New Roman" w:hAnsi="Times New Roman"/>
          <w:sz w:val="22"/>
          <w:szCs w:val="22"/>
          <w:color w:val="auto"/>
        </w:rPr>
        <w:t>”) and defend and hold each of them harmless, from and against any losses, costs, claims, damages, liabilities or expense (including reasonable attorneys’ fees and expenses 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25" w:name="page226"/>
    <w:bookmarkEnd w:id="225"/>
    <w:p>
      <w:pPr>
        <w:spacing w:after="0" w:line="262" w:lineRule="auto"/>
        <w:rPr>
          <w:sz w:val="20"/>
          <w:szCs w:val="20"/>
          <w:color w:val="auto"/>
        </w:rPr>
      </w:pPr>
      <w:r>
        <w:rPr>
          <w:rFonts w:ascii="Times New Roman" w:cs="Times New Roman" w:eastAsia="Times New Roman" w:hAnsi="Times New Roman"/>
          <w:sz w:val="22"/>
          <w:szCs w:val="22"/>
          <w:color w:val="auto"/>
        </w:rPr>
        <w:t>litigation) (collectively, “</w:t>
      </w:r>
      <w:r>
        <w:rPr>
          <w:rFonts w:ascii="Times New Roman" w:cs="Times New Roman" w:eastAsia="Times New Roman" w:hAnsi="Times New Roman"/>
          <w:sz w:val="22"/>
          <w:szCs w:val="22"/>
          <w:b w:val="1"/>
          <w:bCs w:val="1"/>
          <w:color w:val="auto"/>
        </w:rPr>
        <w:t>Liabilities</w:t>
      </w:r>
      <w:r>
        <w:rPr>
          <w:rFonts w:ascii="Times New Roman" w:cs="Times New Roman" w:eastAsia="Times New Roman" w:hAnsi="Times New Roman"/>
          <w:sz w:val="22"/>
          <w:szCs w:val="22"/>
          <w:color w:val="auto"/>
        </w:rPr>
        <w:t>”) arising out of or in connection with suits, actions, demands or actions brought by a Third Party to the extent that such actions relate to or arise from:</w:t>
      </w:r>
    </w:p>
    <w:p>
      <w:pPr>
        <w:spacing w:after="0" w:line="154" w:lineRule="exact"/>
        <w:rPr>
          <w:sz w:val="20"/>
          <w:szCs w:val="20"/>
          <w:color w:val="auto"/>
        </w:rPr>
      </w:pPr>
    </w:p>
    <w:p>
      <w:pPr>
        <w:jc w:val="both"/>
        <w:ind w:firstLine="2254"/>
        <w:spacing w:after="0" w:line="244" w:lineRule="auto"/>
        <w:tabs>
          <w:tab w:leader="none" w:pos="254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Research, Development, Commercialization or other Exploitation of CUE-100 Series Subject Molecules, Licensed Molecules or Licensed Products by or under the authority of IMSCP, its Affiliates or (sub)licensees but excluding any claim to the extent arising from Cue’s breach of this Agreement; [**];</w:t>
      </w:r>
    </w:p>
    <w:p>
      <w:pPr>
        <w:spacing w:after="0" w:line="173" w:lineRule="exact"/>
        <w:rPr>
          <w:rFonts w:ascii="Times New Roman" w:cs="Times New Roman" w:eastAsia="Times New Roman" w:hAnsi="Times New Roman"/>
          <w:sz w:val="22"/>
          <w:szCs w:val="22"/>
          <w:color w:val="auto"/>
        </w:rPr>
      </w:pPr>
    </w:p>
    <w:p>
      <w:pPr>
        <w:ind w:right="20" w:firstLine="2254"/>
        <w:spacing w:after="0" w:line="258" w:lineRule="auto"/>
        <w:tabs>
          <w:tab w:leader="none" w:pos="254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negligent or willful misconduct of a IMSCP Indemnitee (or its subcontractors or (sub)licensees) in conducting or otherwise in connection with, this Agreement; or</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by IMSCP of this Agreement, including any breach of a representation, warranty or covenant by IMSCP made under Article 10;</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except in each case (clauses (a) through (c)), to the extent Cue has obligation to indemnify IMSCP pursuant to Section 11.2 for such Liabilities.</w:t>
      </w:r>
    </w:p>
    <w:p>
      <w:pPr>
        <w:spacing w:after="0" w:line="15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11.2</w:t>
      </w:r>
      <w:r>
        <w:rPr>
          <w:rFonts w:ascii="Times New Roman" w:cs="Times New Roman" w:eastAsia="Times New Roman" w:hAnsi="Times New Roman"/>
          <w:sz w:val="22"/>
          <w:szCs w:val="22"/>
          <w:b w:val="1"/>
          <w:bCs w:val="1"/>
          <w:color w:val="auto"/>
        </w:rPr>
        <w:t>By Cue</w:t>
      </w:r>
      <w:r>
        <w:rPr>
          <w:rFonts w:ascii="Times New Roman" w:cs="Times New Roman" w:eastAsia="Times New Roman" w:hAnsi="Times New Roman"/>
          <w:sz w:val="22"/>
          <w:szCs w:val="22"/>
          <w:color w:val="auto"/>
        </w:rPr>
        <w:t>. Cue agrees to indemnify and defend IMSCP, its Affiliates and its and their directors, officers, employees, agents, contractors and other representatives (the “</w:t>
      </w:r>
      <w:r>
        <w:rPr>
          <w:rFonts w:ascii="Times New Roman" w:cs="Times New Roman" w:eastAsia="Times New Roman" w:hAnsi="Times New Roman"/>
          <w:sz w:val="22"/>
          <w:szCs w:val="22"/>
          <w:b w:val="1"/>
          <w:bCs w:val="1"/>
          <w:color w:val="auto"/>
        </w:rPr>
        <w:t>IMSCP Indemnitees</w:t>
      </w:r>
      <w:r>
        <w:rPr>
          <w:rFonts w:ascii="Times New Roman" w:cs="Times New Roman" w:eastAsia="Times New Roman" w:hAnsi="Times New Roman"/>
          <w:sz w:val="22"/>
          <w:szCs w:val="22"/>
          <w:color w:val="auto"/>
        </w:rPr>
        <w:t>”) and defend and hold each of them harmless, from and against any Liabilities arising out of or in connection with suits, actions, demands or actions brought by a Third Party to the extent that such actions relate to or arise from:</w:t>
      </w:r>
    </w:p>
    <w:p>
      <w:pPr>
        <w:spacing w:after="0" w:line="176" w:lineRule="exact"/>
        <w:rPr>
          <w:sz w:val="20"/>
          <w:szCs w:val="20"/>
          <w:color w:val="auto"/>
        </w:rPr>
      </w:pPr>
    </w:p>
    <w:p>
      <w:pPr>
        <w:ind w:firstLine="2254"/>
        <w:spacing w:after="0" w:line="258" w:lineRule="auto"/>
        <w:tabs>
          <w:tab w:leader="none" w:pos="254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negligent or willful misconduct of a Cue Indemnitee (or its subcontractors or (sub)licensees) in conducting, or otherwise in connection with, this Agreement; or</w:t>
      </w:r>
    </w:p>
    <w:p>
      <w:pPr>
        <w:spacing w:after="0" w:line="158"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by Cue of this Agreement, including any breach of a representation, warranty or covenant by Cue made under Article 10;</w:t>
      </w:r>
    </w:p>
    <w:p>
      <w:pPr>
        <w:spacing w:after="0" w:line="15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except in each case (clauses (a) through (b)), to the extent IMSCP has an obligation to indemnify Cue pursuant to Section 11.1 for such Liabilities.</w:t>
      </w:r>
    </w:p>
    <w:p>
      <w:pPr>
        <w:spacing w:after="0" w:line="15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11.3</w:t>
      </w:r>
      <w:r>
        <w:rPr>
          <w:rFonts w:ascii="Times New Roman" w:cs="Times New Roman" w:eastAsia="Times New Roman" w:hAnsi="Times New Roman"/>
          <w:sz w:val="22"/>
          <w:szCs w:val="22"/>
          <w:b w:val="1"/>
          <w:bCs w:val="1"/>
          <w:color w:val="auto"/>
        </w:rPr>
        <w:t>Procedure</w:t>
      </w:r>
      <w:r>
        <w:rPr>
          <w:rFonts w:ascii="Times New Roman" w:cs="Times New Roman" w:eastAsia="Times New Roman" w:hAnsi="Times New Roman"/>
          <w:sz w:val="22"/>
          <w:szCs w:val="22"/>
          <w:color w:val="auto"/>
        </w:rPr>
        <w:t>. In the event that any Party intends to claim indemnification under this Article 11 (each such Party, an “</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 it shall promptly notify the other Party (the “</w:t>
      </w:r>
      <w:r>
        <w:rPr>
          <w:rFonts w:ascii="Times New Roman" w:cs="Times New Roman" w:eastAsia="Times New Roman" w:hAnsi="Times New Roman"/>
          <w:sz w:val="22"/>
          <w:szCs w:val="22"/>
          <w:b w:val="1"/>
          <w:bCs w:val="1"/>
          <w:color w:val="auto"/>
        </w:rPr>
        <w:t>Indemnitor</w:t>
      </w:r>
      <w:r>
        <w:rPr>
          <w:rFonts w:ascii="Times New Roman" w:cs="Times New Roman" w:eastAsia="Times New Roman" w:hAnsi="Times New Roman"/>
          <w:sz w:val="22"/>
          <w:szCs w:val="22"/>
          <w:color w:val="auto"/>
        </w:rPr>
        <w:t>”) in writing of such alleged Liability. The Indemnitor shall have the right to control the defense of any indemnification claim using counsel of its choice as long as such counsel is reasonably acceptable to Indemnitee; provided, however, that any Indemnitee shall have the right to retain its own counsel at its own expense, for any reason, including if representation of any Indemnitee by the counsel retained by the Indemnitor would be inappropriate due to actual or potential differing interests between such Indemnitee and Indemnitor. The Indemnitee shall cooperate with the Indemnitor and its legal representatives in the investigation of any action, claim or liability covered by this Article 11. The Indemnitee shall not compromise or settle any claim or suit, or admit any liability, or voluntarily incur any expense with respect to any such claim or suit, in each case, without the prior written consent of the Indemnitor, which the Indemnitor shall not be required to give.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12.1</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This Agreement shall become effective as of the Effective Date and, unless earlier terminated pursuant to the other provisions of this Article 12, shall continue in full force and effect until IMSCP has no remaining payment obligations with respect to all Licensed Products in all countries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Following expiration (but not termination) of this Agreement, the IMSCP Commercial License shall become perpetual, irrevocable, royalty-free and fully paid-up.</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12.2</w:t>
      </w:r>
      <w:r>
        <w:rPr>
          <w:rFonts w:ascii="Times New Roman" w:cs="Times New Roman" w:eastAsia="Times New Roman" w:hAnsi="Times New Roman"/>
          <w:sz w:val="21"/>
          <w:szCs w:val="21"/>
          <w:b w:val="1"/>
          <w:bCs w:val="1"/>
          <w:color w:val="auto"/>
        </w:rPr>
        <w:t>Termination for Convenience</w:t>
      </w:r>
      <w:r>
        <w:rPr>
          <w:rFonts w:ascii="Times New Roman" w:cs="Times New Roman" w:eastAsia="Times New Roman" w:hAnsi="Times New Roman"/>
          <w:sz w:val="21"/>
          <w:szCs w:val="21"/>
          <w:color w:val="auto"/>
        </w:rPr>
        <w:t>. IMSCP may terminate this Agreement in its entirety, for any or no reason, on sixty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days’ advance written notice to Cue.</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12.3</w:t>
      </w:r>
      <w:r>
        <w:rPr>
          <w:rFonts w:ascii="Times New Roman" w:cs="Times New Roman" w:eastAsia="Times New Roman" w:hAnsi="Times New Roman"/>
          <w:sz w:val="21"/>
          <w:szCs w:val="21"/>
          <w:b w:val="1"/>
          <w:bCs w:val="1"/>
          <w:color w:val="auto"/>
        </w:rPr>
        <w:t>Termination for Breach</w:t>
      </w:r>
      <w:r>
        <w:rPr>
          <w:rFonts w:ascii="Times New Roman" w:cs="Times New Roman" w:eastAsia="Times New Roman" w:hAnsi="Times New Roman"/>
          <w:sz w:val="21"/>
          <w:szCs w:val="21"/>
          <w:color w:val="auto"/>
        </w:rPr>
        <w:t>. Either Party shall have the right to terminate this Agreement for a material breach of this Agreement by the other Party upon written notice to the breaching Party, if such breach is not cured within [**] (except, in the case such breach involves the failure to make a payment when due, [**]) after written notice is given to the breaching Party specifying such breach. Without limiting Cue’s right to terminate this Agreement pursuant to this Section 12.3, (i) IMSCP’s failure to make any Upfront Payment when due (without application of any cure period), (ii) IMSCP’s grant of any sublicense to a Person in violation of Section 3.3.1, (iii) IMSCP’s assignment of this Agreement in violation of Section 14.6, (iv) IMSCP’s consummation of any Change of Control transaction in violation of Section 14.6, and (v) the consummation of any one or more transactions that result in the IMSCP Party to this Agreement (whether IMSCP or any of its permitted successors or assigns) becoming an Affiliate of [**] or any of its Affiliates, shall each constitute a material breach for purposes of this Section 12.3 that entitles Cue to terminate this Agreement immediately upon notice to IMSCP without any opportunity for IMSCP to cure.</w:t>
      </w:r>
    </w:p>
    <w:p>
      <w:pPr>
        <w:spacing w:after="0" w:line="17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12.4</w:t>
      </w:r>
      <w:r>
        <w:rPr>
          <w:rFonts w:ascii="Times New Roman" w:cs="Times New Roman" w:eastAsia="Times New Roman" w:hAnsi="Times New Roman"/>
          <w:sz w:val="21"/>
          <w:szCs w:val="21"/>
          <w:b w:val="1"/>
          <w:bCs w:val="1"/>
          <w:color w:val="auto"/>
        </w:rPr>
        <w:t>Termination for Insolvency</w:t>
      </w:r>
      <w:r>
        <w:rPr>
          <w:rFonts w:ascii="Times New Roman" w:cs="Times New Roman" w:eastAsia="Times New Roman" w:hAnsi="Times New Roman"/>
          <w:sz w:val="21"/>
          <w:szCs w:val="21"/>
          <w:color w:val="auto"/>
        </w:rPr>
        <w:t xml:space="preserve"> . To the extent permitted under Applicable Law, each Party shall have the right to terminate this Agreement upon delivery of written notice to the other Party in the event of the occurrence of any of the following:</w:t>
      </w:r>
    </w:p>
    <w:p>
      <w:pPr>
        <w:spacing w:after="0" w:line="1" w:lineRule="exact"/>
        <w:rPr>
          <w:sz w:val="20"/>
          <w:szCs w:val="20"/>
          <w:color w:val="auto"/>
        </w:rPr>
      </w:pPr>
    </w:p>
    <w:p>
      <w:pPr>
        <w:jc w:val="both"/>
        <w:ind w:firstLine="8"/>
        <w:spacing w:after="0" w:line="243" w:lineRule="auto"/>
        <w:tabs>
          <w:tab w:leader="none" w:pos="298"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Party shall commence a voluntary case concerning itself under any bankruptcy, liquidation or insolvency code; (b) an involuntary case is commenced against such other Party and the petition is not dismissed within [**] after commencement of the case; (c) a court-supervised custodian is appointed for, or takes charge of, all or substantially all of the property of such other Party or such other Party commences any other proceedings under any reorganization, arrangement, adjustment of debt, relief of debtors, dissolution, insolvency or liquidation or similar law of any jurisdiction whether now or hereafter in effect relating to such other Party or there is commenced against such other Party any such proceeding which remains undismissed for a period of [**] (d) any order of relief or other order approving any such case or proceeding is entered; (e) such other Party is adjudicated insolvent or bankrupt; (f) such other Party suffers any appointment of any court-appointed custodian, receiver or the like for it or all or substantially all of its property to continue undischarged or unstayed for a period of [**]; or (g) such other Party makes a general assignment for the benefit of creditors or authorizes the dissolution or winding-up of such Party.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12.5</w:t>
      </w:r>
      <w:r>
        <w:rPr>
          <w:rFonts w:ascii="Times New Roman" w:cs="Times New Roman" w:eastAsia="Times New Roman" w:hAnsi="Times New Roman"/>
          <w:sz w:val="22"/>
          <w:szCs w:val="22"/>
          <w:b w:val="1"/>
          <w:bCs w:val="1"/>
          <w:color w:val="auto"/>
        </w:rPr>
        <w:t>Effects of Termination</w:t>
      </w:r>
      <w:r>
        <w:rPr>
          <w:rFonts w:ascii="Times New Roman" w:cs="Times New Roman" w:eastAsia="Times New Roman" w:hAnsi="Times New Roman"/>
          <w:sz w:val="22"/>
          <w:szCs w:val="22"/>
          <w:color w:val="auto"/>
        </w:rPr>
        <w:t>. Upon any termination of this Agreement: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27" w:name="page228"/>
    <w:bookmarkEnd w:id="227"/>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12.5.1</w:t>
      </w:r>
      <w:r>
        <w:rPr>
          <w:rFonts w:ascii="Times New Roman" w:cs="Times New Roman" w:eastAsia="Times New Roman" w:hAnsi="Times New Roman"/>
          <w:sz w:val="21"/>
          <w:szCs w:val="21"/>
          <w:b w:val="1"/>
          <w:bCs w:val="1"/>
          <w:color w:val="auto"/>
        </w:rPr>
        <w:t>Termination of Rights</w:t>
      </w:r>
      <w:r>
        <w:rPr>
          <w:rFonts w:ascii="Times New Roman" w:cs="Times New Roman" w:eastAsia="Times New Roman" w:hAnsi="Times New Roman"/>
          <w:sz w:val="21"/>
          <w:szCs w:val="21"/>
          <w:color w:val="auto"/>
        </w:rPr>
        <w:t>. Except as expressly set forth in this Article 12: (a) the IMSCP Research License and IMSCP Commercial License, and all other rights and obligations of the Parties (including the restrictions on Restricted Activities in Section 3.4) shall terminate, (b) IMSCP shall (and shall cause its Affiliates and all Sublicensees) immediately cease all work and further Exploitation of all CUE-100 Series Subject Molecules, Licensed Molecules and Licensed Products (to the extent containing Licensed Molecules) (collectively, “</w:t>
      </w:r>
      <w:r>
        <w:rPr>
          <w:rFonts w:ascii="Times New Roman" w:cs="Times New Roman" w:eastAsia="Times New Roman" w:hAnsi="Times New Roman"/>
          <w:sz w:val="21"/>
          <w:szCs w:val="21"/>
          <w:b w:val="1"/>
          <w:bCs w:val="1"/>
          <w:color w:val="auto"/>
        </w:rPr>
        <w:t>Terminated Products</w:t>
      </w:r>
      <w:r>
        <w:rPr>
          <w:rFonts w:ascii="Times New Roman" w:cs="Times New Roman" w:eastAsia="Times New Roman" w:hAnsi="Times New Roman"/>
          <w:sz w:val="21"/>
          <w:szCs w:val="21"/>
          <w:color w:val="auto"/>
        </w:rPr>
        <w:t>”), including the use of, or reference to, any Terminated Products to Research, Develop or otherwise discover, design, derive, generate or otherwise make any molecules or products, (c) as between the Parties, Cue shall retain exclusive rights to all Cue Know-How, Cue Patents, and Cue’s rights in or to any and all Joint Existing IP and Joint Collaboration IP, and (d) as between the Parties, IMSCP would retain its exclusive rights to all IMSCP Know-How and IMSCP Patents and its rights in or to any and all Joint Existing IP and Joint Collaboration IP.</w:t>
      </w:r>
    </w:p>
    <w:p>
      <w:pPr>
        <w:spacing w:after="0" w:line="16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12.5.2</w:t>
      </w:r>
      <w:r>
        <w:rPr>
          <w:rFonts w:ascii="Times New Roman" w:cs="Times New Roman" w:eastAsia="Times New Roman" w:hAnsi="Times New Roman"/>
          <w:sz w:val="22"/>
          <w:szCs w:val="22"/>
          <w:b w:val="1"/>
          <w:bCs w:val="1"/>
          <w:color w:val="auto"/>
        </w:rPr>
        <w:t>Transition</w:t>
      </w:r>
      <w:r>
        <w:rPr>
          <w:rFonts w:ascii="Times New Roman" w:cs="Times New Roman" w:eastAsia="Times New Roman" w:hAnsi="Times New Roman"/>
          <w:sz w:val="22"/>
          <w:szCs w:val="22"/>
          <w:color w:val="auto"/>
        </w:rPr>
        <w:t>. Notwithstanding any provision of this Agreement to the contrary, for a period of [**] after the effective date of the termination of this Agreement by IMSCP pursuant to Section 12.3, IMSCP, and each of its Affiliates and Sublicensees, will have the right to sell or otherwise dispose of all existing Licensed Products in its or their possession, custody, or control and to complete the manufacture of and sell or otherwise dispose of all Licensed Products in the course of manufacture as of the effective date of termination, in each case, in accordance with the applicable terms and conditions of this Agreement. At the request of Cue, upon termination of this Agreement by Cue under Section 12.3 or Section 12.4 or by IMSCP under Section 12.2, the Parties would negotiate in good faith for a period of up to [**] following termination of this Agreement terms pursuant to which [**].</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12.6</w:t>
      </w:r>
      <w:r>
        <w:rPr>
          <w:rFonts w:ascii="Times New Roman" w:cs="Times New Roman" w:eastAsia="Times New Roman" w:hAnsi="Times New Roman"/>
          <w:sz w:val="22"/>
          <w:szCs w:val="22"/>
          <w:b w:val="1"/>
          <w:bCs w:val="1"/>
          <w:color w:val="auto"/>
        </w:rPr>
        <w:t>Accrued Rights and Obligations; Remedies</w:t>
      </w:r>
      <w:r>
        <w:rPr>
          <w:rFonts w:ascii="Times New Roman" w:cs="Times New Roman" w:eastAsia="Times New Roman" w:hAnsi="Times New Roman"/>
          <w:sz w:val="22"/>
          <w:szCs w:val="22"/>
          <w:color w:val="auto"/>
        </w:rPr>
        <w:t>. Expiration or termination of this Agreement for any reason shall not release either Party hereto from any obligation or liability which, at the time of such expiration or termination, has already accrued to the other Party or which is attributable to a period prior to such expiration or termination. Notwithstanding any provision of this Agreement to the contrary, termination of this Agreement by a Party shall be without prejudice to other remedies such Party may have at law or equity.</w:t>
      </w:r>
    </w:p>
    <w:p>
      <w:pPr>
        <w:spacing w:after="0" w:line="17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12.7</w:t>
      </w:r>
      <w:r>
        <w:rPr>
          <w:rFonts w:ascii="Times New Roman" w:cs="Times New Roman" w:eastAsia="Times New Roman" w:hAnsi="Times New Roman"/>
          <w:sz w:val="21"/>
          <w:szCs w:val="21"/>
          <w:b w:val="1"/>
          <w:bCs w:val="1"/>
          <w:color w:val="auto"/>
        </w:rPr>
        <w:t>Survival</w:t>
      </w:r>
      <w:r>
        <w:rPr>
          <w:rFonts w:ascii="Times New Roman" w:cs="Times New Roman" w:eastAsia="Times New Roman" w:hAnsi="Times New Roman"/>
          <w:sz w:val="21"/>
          <w:szCs w:val="21"/>
          <w:color w:val="auto"/>
        </w:rPr>
        <w:t>. Without limiting the provisions of Section 12.6, solely the rights and obligations of the Parties set forth in the following Sections and Articles of this Agreement will survive the expiration or termination of this Agreement, in addition to those other terms and conditions that are expressly stated to survive termination or expiration of this Agreement: Article 1 (to the extent used in the other surviving provisions), Article 9 (for the period set forth therein, in the case of Sections 9.1 through 9.2; and excluding Section 9.5), Article 11, Article 13, Article 14, Section 2.2 (third sentence only), Section 3.5, Section 5.5 (third sentence only), Sections 7.1-7.8 (with respect to amounts accrued prior to any such expiration or termination), 7.9 (solely for the time period specified therein), 7.10-7.11(with respect to amounts accrued prior to any such expiration or termination), Section 8.1, Section 8.2.3, Section 10.5, Section 10.6, Section 12.1, Section 12.5, Section, 12.6, and Section 12.7.</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DISPUTE RESOLUTION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28" w:name="page229"/>
    <w:bookmarkEnd w:id="228"/>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13.1</w:t>
      </w:r>
      <w:r>
        <w:rPr>
          <w:rFonts w:ascii="Times New Roman" w:cs="Times New Roman" w:eastAsia="Times New Roman" w:hAnsi="Times New Roman"/>
          <w:sz w:val="22"/>
          <w:szCs w:val="22"/>
          <w:b w:val="1"/>
          <w:bCs w:val="1"/>
          <w:color w:val="auto"/>
        </w:rPr>
        <w:t>Escalation</w:t>
      </w:r>
      <w:r>
        <w:rPr>
          <w:rFonts w:ascii="Times New Roman" w:cs="Times New Roman" w:eastAsia="Times New Roman" w:hAnsi="Times New Roman"/>
          <w:sz w:val="22"/>
          <w:szCs w:val="22"/>
          <w:color w:val="auto"/>
        </w:rPr>
        <w:t>. Should any dispute concerning the interpretation or breach of this Agreement or any rights or obligations hereunder arise (each, a “</w:t>
      </w:r>
      <w:r>
        <w:rPr>
          <w:rFonts w:ascii="Times New Roman" w:cs="Times New Roman" w:eastAsia="Times New Roman" w:hAnsi="Times New Roman"/>
          <w:sz w:val="22"/>
          <w:szCs w:val="22"/>
          <w:b w:val="1"/>
          <w:bCs w:val="1"/>
          <w:color w:val="auto"/>
        </w:rPr>
        <w:t>Dispute</w:t>
      </w:r>
      <w:r>
        <w:rPr>
          <w:rFonts w:ascii="Times New Roman" w:cs="Times New Roman" w:eastAsia="Times New Roman" w:hAnsi="Times New Roman"/>
          <w:sz w:val="22"/>
          <w:szCs w:val="22"/>
          <w:color w:val="auto"/>
        </w:rPr>
        <w:t>”), the Parties shall use all reasonable endeavors to meet to resolve any issues of disagreement amicably. Should initial meeting(s) fail to resolve such disagreement within [**] of either Party issuing a written request to resolve the Dispute, the matter shall be referred to the Parties’ Executive Officers for resolution. Should the Parties resolve such Dispute, the terms on which such resolution has been reached, or the reasons for such resolution, shall be recorded in writing and signed on behalf of each Party.</w:t>
      </w:r>
    </w:p>
    <w:p>
      <w:pPr>
        <w:spacing w:after="0" w:line="17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13.2</w:t>
      </w:r>
      <w:r>
        <w:rPr>
          <w:rFonts w:ascii="Times New Roman" w:cs="Times New Roman" w:eastAsia="Times New Roman" w:hAnsi="Times New Roman"/>
          <w:sz w:val="22"/>
          <w:szCs w:val="22"/>
          <w:b w:val="1"/>
          <w:bCs w:val="1"/>
          <w:color w:val="auto"/>
        </w:rPr>
        <w:t>Arbitration</w:t>
      </w:r>
      <w:r>
        <w:rPr>
          <w:rFonts w:ascii="Times New Roman" w:cs="Times New Roman" w:eastAsia="Times New Roman" w:hAnsi="Times New Roman"/>
          <w:sz w:val="22"/>
          <w:szCs w:val="22"/>
          <w:color w:val="auto"/>
        </w:rPr>
        <w:t>. In the event that above-mentioned discussions between the Executive Officers fail to resolve the Dispute within [**] of a Party’s initial written request to resolve such Dispute, either Party may, by written notice to the other Party, elect to resolve such Dispute through binding arbitration in accordance with this Section 13.2.</w:t>
      </w:r>
    </w:p>
    <w:p>
      <w:pPr>
        <w:spacing w:after="0" w:line="171"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13.2.1The arbitration shall be administered by JAMS pursuant to its Comprehensive Arbitration Rules and Procedures in force on the date on which the notice of arbitration is submitted in accordance with the JAMS Rules. The arbitral tribunal shall consist of three arbitrators (unless the Parties agree in writing to using a single arbitrator), each of whom is a retired United States Federal district court or appellate judge with, to the extent possible, relevant knowledge and legal experience in the subject matter of the arbitration. Each arbitrator shall be independent, neutral, and disinterested with respect to the Parties and subject matter of the arbitration. The arbitrator(s) shall be selected from a list provided by JAMS, and the Parties shall agree upon reasonable procedures to vet the potential arbitrator(s) to verify that they are independent, neutral, and disinterested. If the Parties fail to so mutually agree, the arbitrator(s) shall be appointed by JAMS in accordance with such rules. The emergency and the expedited procedures of the arbitration shall not apply. The arbitrator(s) shall have the right to engage one or more experts with experience in the subject matter of the Dispute to advise the arbitrator in reaching its decision.</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13.2.2The Parties and the arbitrator(s) shall use all reasonable efforts to complete any such arbitration within</w:t>
      </w:r>
    </w:p>
    <w:p>
      <w:pPr>
        <w:spacing w:after="0" w:line="14" w:lineRule="exact"/>
        <w:rPr>
          <w:sz w:val="20"/>
          <w:szCs w:val="20"/>
          <w:color w:val="auto"/>
        </w:rPr>
      </w:pPr>
    </w:p>
    <w:p>
      <w:pPr>
        <w:jc w:val="both"/>
        <w:ind w:firstLine="8"/>
        <w:spacing w:after="0" w:line="232" w:lineRule="auto"/>
        <w:tabs>
          <w:tab w:leader="none" w:pos="417"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appointment of the arbitrator(s). The arbitrator(s) shall determine what discovery will be permitted, consistent with the goal of limiting the cost and time which the Parties must expend for discovery; provided that the arbitrator(s) shall permit such discovery as he or she deems necessary to permit an equitable resolution of the Dispute. Any written evidence to be submitted to the arbitral tribunal originally in a language other than English shall be submitted in a certified English translation accompanied by the original or a true copy or electric data or source thereof only in the case required so by the panel, at the cost of the Party providing such evidence, subject to reallocation of such costs by the arbitral tribunal as provided below in Section 13.2.4 below. In coming to a decision, the arbitrator(s) shall consider only evidence that is deemed admissible under the Federal Rules of Evidence.</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13.2.3The Parties agree that a decision or award rendered by the arbitrator(s) shall be the sole, exclusive and binding remedy between them regarding any Dispute presented to the arbitrator(s). Any decision or award of the arbitrator(s) may be entered in any court of competent jurisdiction for judicial recognition of the decision and an order of enforcement. To the fullest extent permissible, the Parties hereby expressly agree to waive the right to appeal the award or any other decision of the arbitral tribunal, and agree that there shall be no appeal to any court or other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29" w:name="page230"/>
    <w:bookmarkEnd w:id="229"/>
    <w:p>
      <w:pPr>
        <w:jc w:val="both"/>
        <w:spacing w:after="0" w:line="235" w:lineRule="auto"/>
        <w:rPr>
          <w:sz w:val="20"/>
          <w:szCs w:val="20"/>
          <w:color w:val="auto"/>
        </w:rPr>
      </w:pPr>
      <w:r>
        <w:rPr>
          <w:rFonts w:ascii="Times New Roman" w:cs="Times New Roman" w:eastAsia="Times New Roman" w:hAnsi="Times New Roman"/>
          <w:sz w:val="22"/>
          <w:szCs w:val="22"/>
          <w:color w:val="auto"/>
        </w:rPr>
        <w:t>authority (government or private) from any decision or award of the arbitrator(s), and the Parties shall not dispute nor question the validity of such decision or award before any regulatory or other authority in any jurisdiction where enforcement action is taken, except in the case of fraud. The arbitrator(s) shall have no authority to award, and may not award, punitive, special, incidental, consequential, or any other similar form of damages. The arbitration proceedings and the decision of the arbitrator(s) shall not be made public without the joint consent of the Parties, and each Party shall maintain the confidentiality of such proceedings and decision except to the extent disclosure of such proceeding or decision is: (a) mutually agreed to by the Parties, (b) are permitted under Article 9 or (c) required under Applicable Law or the rules of a securities exchange.</w:t>
      </w:r>
    </w:p>
    <w:p>
      <w:pPr>
        <w:spacing w:after="0" w:line="18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13.2.4Unless otherwise mutually agreed by the Parties, the arbitration proceeding shall be conducted in English in New York, New York, USA. The Parties agree that they shall share equally the cost of the arbitration filing and hearing fees, the cost of the independent expert(s) retained by the arbitrator(s), and the cost of the arbitrator(s) and administrative fees of JAMS. Each Party shall bear its own costs and attorneys’ and witnesses’ fees and associated costs and expenses, provided, however, that the arbitrator(s) may exercise discretion to award arbitration costs and other costs such as translation costs, but not attorney's fees, to the prevailing Party.</w:t>
      </w:r>
    </w:p>
    <w:p>
      <w:pPr>
        <w:spacing w:after="0" w:line="181"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13.2.5Notwithstanding anything in this Section 13.2 to the contrary, each Party shall have the right to apply to any court of competent jurisdiction for a temporary restraining order, preliminary injunction or other similar interim or conservatory relief, as necessary to protect the rights or property of such Party, pending the selection of the arbitrator(s) or pending the arbitrator(s)’ determination of the merits of any Dispute.</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13.3</w:t>
      </w:r>
      <w:r>
        <w:rPr>
          <w:rFonts w:ascii="Times New Roman" w:cs="Times New Roman" w:eastAsia="Times New Roman" w:hAnsi="Times New Roman"/>
          <w:sz w:val="22"/>
          <w:szCs w:val="22"/>
          <w:b w:val="1"/>
          <w:bCs w:val="1"/>
          <w:color w:val="auto"/>
        </w:rPr>
        <w:t>Intellectual Property Disputes</w:t>
      </w:r>
      <w:r>
        <w:rPr>
          <w:rFonts w:ascii="Times New Roman" w:cs="Times New Roman" w:eastAsia="Times New Roman" w:hAnsi="Times New Roman"/>
          <w:sz w:val="22"/>
          <w:szCs w:val="22"/>
          <w:color w:val="auto"/>
        </w:rPr>
        <w:t>. In the event that a Dispute arises with respect to the validity, scope, construction, enforceability, inventorship, ownership, infringement or misappropriation of any Patent, Know-How or other intellectual property rights, unless otherwise agreed by the Parties in writing, such Dispute neither be submitted to resolution by the Executive Officers in accordance with Section 13.1 nor be submitted to arbitration in accordance with Section 13.2, and instead, either Party may initiate litigation in a court of competent jurisdiction, notwithstanding Section 14.10, in any country or other jurisdiction in which such rights apply.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14.1</w:t>
      </w: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All notices, requests, demands, waivers and other communications required or permitted to be given under this Agreement shall be in writing in the English language, and (a) delivered personally, (b) sent by air mail or express courier service providing evidence of receipt, postage pre-paid where applicable, or (c) by email and acknowledged by return email, to the following addresses of the Parties (or such other address for a Party as may be specified by like notice):</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Cue: Cue Biopharma, Inc.</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40 Guest Street</w:t>
      </w:r>
    </w:p>
    <w:p>
      <w:pPr>
        <w:ind w:left="3460"/>
        <w:spacing w:after="0" w:line="230" w:lineRule="auto"/>
        <w:rPr>
          <w:sz w:val="20"/>
          <w:szCs w:val="20"/>
          <w:color w:val="auto"/>
        </w:rPr>
      </w:pPr>
      <w:r>
        <w:rPr>
          <w:rFonts w:ascii="Times New Roman" w:cs="Times New Roman" w:eastAsia="Times New Roman" w:hAnsi="Times New Roman"/>
          <w:sz w:val="22"/>
          <w:szCs w:val="22"/>
          <w:color w:val="auto"/>
        </w:rPr>
        <w:t>Boston, MA 02135</w:t>
      </w:r>
    </w:p>
    <w:p>
      <w:pPr>
        <w:ind w:left="3460"/>
        <w:spacing w:after="0" w:line="231" w:lineRule="auto"/>
        <w:rPr>
          <w:sz w:val="20"/>
          <w:szCs w:val="20"/>
          <w:color w:val="auto"/>
        </w:rPr>
      </w:pPr>
      <w:r>
        <w:rPr>
          <w:rFonts w:ascii="Times New Roman" w:cs="Times New Roman" w:eastAsia="Times New Roman" w:hAnsi="Times New Roman"/>
          <w:sz w:val="22"/>
          <w:szCs w:val="22"/>
          <w:color w:val="auto"/>
        </w:rPr>
        <w:t>Attention: Chief Executive Officer</w:t>
      </w:r>
    </w:p>
    <w:p>
      <w:pPr>
        <w:ind w:left="1940"/>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30" w:name="page231"/>
    <w:bookmarkEnd w:id="230"/>
    <w:p>
      <w:pPr>
        <w:ind w:left="1500"/>
        <w:spacing w:after="0"/>
        <w:tabs>
          <w:tab w:leader="none" w:pos="322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Cue Biopharma, Inc.</w:t>
      </w:r>
    </w:p>
    <w:p>
      <w:pPr>
        <w:spacing w:after="0" w:line="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40 Guest Street</w:t>
      </w:r>
    </w:p>
    <w:p>
      <w:pPr>
        <w:ind w:left="3460"/>
        <w:spacing w:after="0" w:line="230" w:lineRule="auto"/>
        <w:rPr>
          <w:sz w:val="20"/>
          <w:szCs w:val="20"/>
          <w:color w:val="auto"/>
        </w:rPr>
      </w:pPr>
      <w:r>
        <w:rPr>
          <w:rFonts w:ascii="Times New Roman" w:cs="Times New Roman" w:eastAsia="Times New Roman" w:hAnsi="Times New Roman"/>
          <w:sz w:val="22"/>
          <w:szCs w:val="22"/>
          <w:color w:val="auto"/>
        </w:rPr>
        <w:t>Boston, MA 02135</w:t>
      </w:r>
    </w:p>
    <w:p>
      <w:pPr>
        <w:ind w:left="3460"/>
        <w:spacing w:after="0" w:line="231" w:lineRule="auto"/>
        <w:rPr>
          <w:sz w:val="20"/>
          <w:szCs w:val="20"/>
          <w:color w:val="auto"/>
        </w:rPr>
      </w:pPr>
      <w:r>
        <w:rPr>
          <w:rFonts w:ascii="Times New Roman" w:cs="Times New Roman" w:eastAsia="Times New Roman" w:hAnsi="Times New Roman"/>
          <w:sz w:val="22"/>
          <w:szCs w:val="22"/>
          <w:color w:val="auto"/>
        </w:rPr>
        <w:t>Attention: Cue Legal</w:t>
      </w:r>
    </w:p>
    <w:p>
      <w:pPr>
        <w:ind w:left="1940"/>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IMSCP:  ImmunoScape Pte. Ltd.</w:t>
      </w:r>
    </w:p>
    <w:p>
      <w:pPr>
        <w:spacing w:after="0" w:line="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1 Scotts Road 24-10</w:t>
      </w:r>
    </w:p>
    <w:p>
      <w:pPr>
        <w:ind w:left="3480"/>
        <w:spacing w:after="0" w:line="230" w:lineRule="auto"/>
        <w:rPr>
          <w:sz w:val="20"/>
          <w:szCs w:val="20"/>
          <w:color w:val="auto"/>
        </w:rPr>
      </w:pPr>
      <w:r>
        <w:rPr>
          <w:rFonts w:ascii="Times New Roman" w:cs="Times New Roman" w:eastAsia="Times New Roman" w:hAnsi="Times New Roman"/>
          <w:sz w:val="22"/>
          <w:szCs w:val="22"/>
          <w:color w:val="auto"/>
        </w:rPr>
        <w:t>Shaw Centre, Singapore 228208</w:t>
      </w:r>
    </w:p>
    <w:p>
      <w:pPr>
        <w:ind w:left="3480"/>
        <w:spacing w:after="0" w:line="231" w:lineRule="auto"/>
        <w:rPr>
          <w:sz w:val="20"/>
          <w:szCs w:val="20"/>
          <w:color w:val="auto"/>
        </w:rPr>
      </w:pPr>
      <w:r>
        <w:rPr>
          <w:rFonts w:ascii="Times New Roman" w:cs="Times New Roman" w:eastAsia="Times New Roman" w:hAnsi="Times New Roman"/>
          <w:sz w:val="22"/>
          <w:szCs w:val="22"/>
          <w:color w:val="auto"/>
        </w:rPr>
        <w:t>Attention: Chief Executive Officer</w:t>
      </w:r>
    </w:p>
    <w:p>
      <w:pPr>
        <w:ind w:left="3480"/>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Any notice required or permitted to be given concerning this Agreement shall be effective upon receipt by the Party to whom it is addressed.</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14.2</w:t>
      </w:r>
      <w:r>
        <w:rPr>
          <w:rFonts w:ascii="Times New Roman" w:cs="Times New Roman" w:eastAsia="Times New Roman" w:hAnsi="Times New Roman"/>
          <w:sz w:val="22"/>
          <w:szCs w:val="22"/>
          <w:b w:val="1"/>
          <w:bCs w:val="1"/>
          <w:color w:val="auto"/>
        </w:rPr>
        <w:t>Rights in Bankruptcy</w:t>
      </w:r>
      <w:r>
        <w:rPr>
          <w:rFonts w:ascii="Times New Roman" w:cs="Times New Roman" w:eastAsia="Times New Roman" w:hAnsi="Times New Roman"/>
          <w:sz w:val="22"/>
          <w:szCs w:val="22"/>
          <w:color w:val="auto"/>
        </w:rPr>
        <w:t>. All rights and licenses granted under or pursuant to this Agreement by one Party to the other are, for all purposes of Section 365(n) of Title 11 of the United States Code (“</w:t>
      </w:r>
      <w:r>
        <w:rPr>
          <w:rFonts w:ascii="Times New Roman" w:cs="Times New Roman" w:eastAsia="Times New Roman" w:hAnsi="Times New Roman"/>
          <w:sz w:val="22"/>
          <w:szCs w:val="22"/>
          <w:b w:val="1"/>
          <w:bCs w:val="1"/>
          <w:color w:val="auto"/>
        </w:rPr>
        <w:t>Title 11</w:t>
      </w:r>
      <w:r>
        <w:rPr>
          <w:rFonts w:ascii="Times New Roman" w:cs="Times New Roman" w:eastAsia="Times New Roman" w:hAnsi="Times New Roman"/>
          <w:sz w:val="22"/>
          <w:szCs w:val="22"/>
          <w:color w:val="auto"/>
        </w:rPr>
        <w:t>”), licenses of rights to “intellectual property” as defined in Title 11, and, in the event that a case under Title 11 is commenced by or against either Party, the other Party shall have all of the rights set forth in Section 365(n) of Title 11 to the maximum extent permitted thereby. Further, each Party agrees and acknowledges that all (a) payments due under Article 7 by IMSCP to Cue hereunder, other than the royalty payments pursuant to Section 7.3, do not constitute royalties within the meaning of Section 365(n) of the Bankruptcy Code or relate to licenses of intellectual property hereunder and (y) the royalty payments pursuant to Section 7.3 are deemed “royalty payments” for purposes of Section 365(n) of Title 11. All rights of the Parties under this Section 14.2 and under Section 365(n) of Title 11 are in addition to and not in substitution of any and all other rights, powers, and remedies that each Party may have under this Agreement, Title 11, and any other Applicable Law.</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14.3</w:t>
      </w:r>
      <w:r>
        <w:rPr>
          <w:rFonts w:ascii="Times New Roman" w:cs="Times New Roman" w:eastAsia="Times New Roman" w:hAnsi="Times New Roman"/>
          <w:sz w:val="22"/>
          <w:szCs w:val="22"/>
          <w:b w:val="1"/>
          <w:bCs w:val="1"/>
          <w:color w:val="auto"/>
        </w:rPr>
        <w:t>Force Majeure</w:t>
      </w:r>
      <w:r>
        <w:rPr>
          <w:rFonts w:ascii="Times New Roman" w:cs="Times New Roman" w:eastAsia="Times New Roman" w:hAnsi="Times New Roman"/>
          <w:sz w:val="22"/>
          <w:szCs w:val="22"/>
          <w:color w:val="auto"/>
        </w:rPr>
        <w:t>. Except with respect to any obligation to make a payment owed hereunder, neither Party shall be held liable for inadequate performance to the extent caused by a condition (for example, fires, floods, earthquakes, hurricanes, embargoes, shortages, epidemics, pandemics, quarantines, war, acts of war (whether war be declared or not), terrorist acts, insurrections, riots, civil commotion, strikes, lockouts, or other labor disturbances (whether involving the workforce of the non-performing Party or of any other Person), acts of God or acts, or omissions or delays in acting by any Governmental Authority) that was not reasonably foreseeable and beyond such Party’s reasonable control, and renders the performance impossible or illegal. The non-performing Party shall notify the other Party of such condition within [**] after such occurrence by giving written notice to the other Party stating the nature of the condition, its anticipated duration, and any action being taken to avoid or minimize its effect. The suspension of performance shall be of no greater scope and no longer duration than is necessary and the non-performing Party shall use diligent efforts to remedy its inability to perform.</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14.4</w:t>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provision of this Agreement shall for any reason be held to be invalid, illegal or unenforceable, such decision shall not affect, impair or invalidate the remainder of this Agreement but shall be confined in its operation to the provision of this Agreement directly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31" w:name="page232"/>
    <w:bookmarkEnd w:id="231"/>
    <w:p>
      <w:pPr>
        <w:jc w:val="both"/>
        <w:spacing w:after="0" w:line="255" w:lineRule="auto"/>
        <w:rPr>
          <w:sz w:val="20"/>
          <w:szCs w:val="20"/>
          <w:color w:val="auto"/>
        </w:rPr>
      </w:pPr>
      <w:r>
        <w:rPr>
          <w:rFonts w:ascii="Times New Roman" w:cs="Times New Roman" w:eastAsia="Times New Roman" w:hAnsi="Times New Roman"/>
          <w:sz w:val="21"/>
          <w:szCs w:val="21"/>
          <w:color w:val="auto"/>
        </w:rPr>
        <w:t>involved in the controversy in which the decision was rendered. The invalid, illegal or unenforceable provision shall be reformed so that each Party shall have the obligation to perform reasonably in the alternative to give the other Party the benefit of its bargain. In the event the invalid, illegal or unenforceable provision cannot be reformed, the other provisions or applications of this Agreement shall be given full effect, and the invalid, illegal or unenforceable provision shall be deemed eliminated.</w:t>
      </w:r>
    </w:p>
    <w:p>
      <w:pPr>
        <w:spacing w:after="0" w:line="158"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color w:val="auto"/>
        </w:rPr>
        <w:t>14.5</w:t>
      </w:r>
      <w:r>
        <w:rPr>
          <w:rFonts w:ascii="Times New Roman" w:cs="Times New Roman" w:eastAsia="Times New Roman" w:hAnsi="Times New Roman"/>
          <w:sz w:val="22"/>
          <w:szCs w:val="22"/>
          <w:b w:val="1"/>
          <w:bCs w:val="1"/>
          <w:color w:val="auto"/>
        </w:rPr>
        <w:t>Independent Contractors</w:t>
      </w:r>
      <w:r>
        <w:rPr>
          <w:rFonts w:ascii="Times New Roman" w:cs="Times New Roman" w:eastAsia="Times New Roman" w:hAnsi="Times New Roman"/>
          <w:sz w:val="22"/>
          <w:szCs w:val="22"/>
          <w:color w:val="auto"/>
        </w:rPr>
        <w:t>. Each of the Parties is an independent contractor and not an employee, agent, representative or partner of the other.</w:t>
      </w:r>
    </w:p>
    <w:p>
      <w:pPr>
        <w:spacing w:after="0" w:line="15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14.6</w:t>
      </w:r>
      <w:r>
        <w:rPr>
          <w:rFonts w:ascii="Times New Roman" w:cs="Times New Roman" w:eastAsia="Times New Roman" w:hAnsi="Times New Roman"/>
          <w:sz w:val="22"/>
          <w:szCs w:val="22"/>
          <w:b w:val="1"/>
          <w:bCs w:val="1"/>
          <w:color w:val="auto"/>
        </w:rPr>
        <w:t>Assignment</w:t>
      </w:r>
      <w:r>
        <w:rPr>
          <w:rFonts w:ascii="Times New Roman" w:cs="Times New Roman" w:eastAsia="Times New Roman" w:hAnsi="Times New Roman"/>
          <w:sz w:val="22"/>
          <w:szCs w:val="22"/>
          <w:color w:val="auto"/>
        </w:rPr>
        <w:t>. This Agreement may not be assigned or otherwise transferred, nor may any right or obligation hereunder be assigned or transferred by either Party, without the prior written consent of the other Party, except that: (a) each Party has the right to assign this Agreement without the other Party’s consent in connection with the sale of all or substantially all of the business or assets of such Party, whether by way of merger, sale of assets, sale of stock or otherwise; provided, however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within [**] of such an assignment, the assignee shall agree in writing to be bound by the terms and conditions of this Agreement and (b) Cue may assign or transfer to a Third Party, Cue’s rights to receive payments from IMSCP under this Agreement and any associated rights (including rights to receive reports, conduct audits and enforce such payment obligations of IMSCP) under this Agreement, without IMSCP’s consent. Any assignment in contravention of the foregoing shall be null and void. Subject to the foregoing, this Agreement shall bind and inure to the benefit of each Party’s successors and permitted assigns, including in the event of a Change of Control.</w:t>
      </w:r>
    </w:p>
    <w:p>
      <w:pPr>
        <w:spacing w:after="0" w:line="183"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14.6.1Notwithstanding Section 14.6, in the event IMSCP seeks to solicit proposals, begin discussions regarding, or proposes to enter into any arrangement to undergo a Change of Control other than an IPO at any time during the Term, IMSCP shall first notify Cue in writing (such notice, a “</w:t>
      </w:r>
      <w:r>
        <w:rPr>
          <w:rFonts w:ascii="Times New Roman" w:cs="Times New Roman" w:eastAsia="Times New Roman" w:hAnsi="Times New Roman"/>
          <w:sz w:val="22"/>
          <w:szCs w:val="22"/>
          <w:b w:val="1"/>
          <w:bCs w:val="1"/>
          <w:color w:val="auto"/>
        </w:rPr>
        <w:t>ROFN Notice</w:t>
      </w:r>
      <w:r>
        <w:rPr>
          <w:rFonts w:ascii="Times New Roman" w:cs="Times New Roman" w:eastAsia="Times New Roman" w:hAnsi="Times New Roman"/>
          <w:sz w:val="22"/>
          <w:szCs w:val="22"/>
          <w:color w:val="auto"/>
        </w:rPr>
        <w:t>”) and Cue shall have the first right of negotiation to acquire IMSCP (or its parent). During the [**] period starting on the date of such ROFN Notice (the “</w:t>
      </w:r>
      <w:r>
        <w:rPr>
          <w:rFonts w:ascii="Times New Roman" w:cs="Times New Roman" w:eastAsia="Times New Roman" w:hAnsi="Times New Roman"/>
          <w:sz w:val="22"/>
          <w:szCs w:val="22"/>
          <w:b w:val="1"/>
          <w:bCs w:val="1"/>
          <w:color w:val="auto"/>
        </w:rPr>
        <w:t>ROFN Period</w:t>
      </w:r>
      <w:r>
        <w:rPr>
          <w:rFonts w:ascii="Times New Roman" w:cs="Times New Roman" w:eastAsia="Times New Roman" w:hAnsi="Times New Roman"/>
          <w:sz w:val="22"/>
          <w:szCs w:val="22"/>
          <w:color w:val="auto"/>
        </w:rPr>
        <w:t>”), upon Cue’s request, the Parties will negotiate in good faith the terms on which Cue would acquire IMSCP (or its parent). If the Parties fail to execute an agreement governing the acquisition of IMSCP (or its parent) during the ROFN Period, or Cue provides IMSCP with earlier notice that it is not interested in acquiring IMSCP (or its parent), then IMSCP, shall be free to pursue a Change of Control with one or more Third Parties, provided that, subject to Section 14.6.2, IMSCP shall not enter into any Change of Control on terms that are less favourable to IMSCP, in the aggregate, than those offered to IMSCP by Cue, without first offering such Change of Control on such terms to Cue and providing Cue with [**] to accept such terms of such Change of Control in writing. For the avoidance of doubt, [**].</w:t>
      </w:r>
    </w:p>
    <w:p>
      <w:pPr>
        <w:spacing w:after="0" w:line="18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14.6.2Notwithstanding any provision of this Agreement to the contrary, IMSCP may not (i) assign or transfer this Agreement or (ii) consummate any Change of Control, in each case, prior to [**] of the Effective Date without unanimous approval of the board of directors of IMSCP. Further, IMSCP may not assign or transfer this Agreement to [**] or any of its Affiliates, or consummate any Change of Control involving [**] or any of its Affiliates, in each case without the prior written consent of Cue, which consent may be withheld by Cue in its sole discretion.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32" w:name="page233"/>
    <w:bookmarkEnd w:id="232"/>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14.7</w:t>
      </w: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The waiver by either Party of, or failure to enforce, a default or a breach of any provision of this Agreement by the other Party shall not operate or be construed to operate as a waiver of any subsequent default or breach. The continued performance by either Party with knowledge of the existence of a default or breach shall not operate or be construed to operate as a waiver of any default or breach. No single or partial exercise of any right or remedy provided under this Agreement or by law shall preclude or restrict the further exercise of that or any other right or remedy.</w:t>
      </w:r>
    </w:p>
    <w:p>
      <w:pPr>
        <w:spacing w:after="0" w:line="17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14.8</w:t>
      </w:r>
      <w:r>
        <w:rPr>
          <w:rFonts w:ascii="Times New Roman" w:cs="Times New Roman" w:eastAsia="Times New Roman" w:hAnsi="Times New Roman"/>
          <w:sz w:val="21"/>
          <w:szCs w:val="21"/>
          <w:b w:val="1"/>
          <w:bCs w:val="1"/>
          <w:color w:val="auto"/>
        </w:rPr>
        <w:t>Performance by Affiliates, Sublicensees and Third Party subcontractors</w:t>
      </w:r>
      <w:r>
        <w:rPr>
          <w:rFonts w:ascii="Times New Roman" w:cs="Times New Roman" w:eastAsia="Times New Roman" w:hAnsi="Times New Roman"/>
          <w:sz w:val="21"/>
          <w:szCs w:val="21"/>
          <w:color w:val="auto"/>
        </w:rPr>
        <w:t>. Each Party may use one (1) or more of its Affiliates, sublicensees or Third Party subcontractors to exercise perform such Party’s obligations and duties hereunder. In such event: (a) the activities or performance by such Affiliates, sublicensees or Third Party subcontractors shall be deemed activities or performance by the applicable Party for the purposes of this Agreement; (b) each such Affiliate, sublicensee and Third Party subcontractors shall be bound by a written agreement that binds such Person to the corresponding obligations of the applicable Party and, in any event, such written agreement shall be at least as protective of the other Party and such other Party’s intellectual property rights and Confidential Information as those contained in this Agreement; and (c) such applicable Party shall remain liable hereunder for the prompt payment and performance of all such Party’s respective obligations hereunder.</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14.9</w:t>
      </w:r>
      <w:r>
        <w:rPr>
          <w:rFonts w:ascii="Times New Roman" w:cs="Times New Roman" w:eastAsia="Times New Roman" w:hAnsi="Times New Roman"/>
          <w:sz w:val="22"/>
          <w:szCs w:val="22"/>
          <w:b w:val="1"/>
          <w:bCs w:val="1"/>
          <w:color w:val="auto"/>
        </w:rPr>
        <w:t>Entire Agreement</w:t>
      </w:r>
      <w:r>
        <w:rPr>
          <w:rFonts w:ascii="Times New Roman" w:cs="Times New Roman" w:eastAsia="Times New Roman" w:hAnsi="Times New Roman"/>
          <w:sz w:val="22"/>
          <w:szCs w:val="22"/>
          <w:color w:val="auto"/>
        </w:rPr>
        <w:t>. The provisions of this Agreement constitute the entire agreement between the Parties with respect to the subject matter hereof, superseding any and all prior agreements and negotiations with respect to such subject matter, including the Prior CDA and Prior MTAs. This Agreement, including its exhibit, may be modified only by written agreement executed by both Parties.</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14.10</w:t>
      </w:r>
      <w:r>
        <w:rPr>
          <w:rFonts w:ascii="Times New Roman" w:cs="Times New Roman" w:eastAsia="Times New Roman" w:hAnsi="Times New Roman"/>
          <w:sz w:val="22"/>
          <w:szCs w:val="22"/>
          <w:b w:val="1"/>
          <w:bCs w:val="1"/>
          <w:color w:val="auto"/>
        </w:rPr>
        <w:t>Governing Law; Service</w:t>
      </w:r>
      <w:r>
        <w:rPr>
          <w:rFonts w:ascii="Times New Roman" w:cs="Times New Roman" w:eastAsia="Times New Roman" w:hAnsi="Times New Roman"/>
          <w:sz w:val="22"/>
          <w:szCs w:val="22"/>
          <w:color w:val="auto"/>
        </w:rPr>
        <w:t>. This Agreement shall be governed by and enforced and construed in accordance with the laws of State of New York, excluding any conflicts or choice of law rules which may direct the application of the laws of another jurisdiction, except as to any issue which depends upon the validity, scope or enforceability of any Patent, which issue will be determined in accordance with the laws of the country in which such Patent was issued. The United Nations Convention for the International Sale of Goods will not apply to the transactions contemplated herein. Each Party further agrees that service of any process, summons, notice or document by registered mail to its address set forth in Section 14.1 shall be effective service of process for any action, suit, or proceeding brought against it under this Agreement in any such court.</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14.11</w:t>
      </w:r>
      <w:r>
        <w:rPr>
          <w:rFonts w:ascii="Times New Roman" w:cs="Times New Roman" w:eastAsia="Times New Roman" w:hAnsi="Times New Roman"/>
          <w:sz w:val="22"/>
          <w:szCs w:val="22"/>
          <w:b w:val="1"/>
          <w:bCs w:val="1"/>
          <w:color w:val="auto"/>
        </w:rPr>
        <w:t>Compliance with Laws</w:t>
      </w:r>
      <w:r>
        <w:rPr>
          <w:rFonts w:ascii="Times New Roman" w:cs="Times New Roman" w:eastAsia="Times New Roman" w:hAnsi="Times New Roman"/>
          <w:sz w:val="22"/>
          <w:szCs w:val="22"/>
          <w:color w:val="auto"/>
        </w:rPr>
        <w:t>. In performing the tasks and exercising their rights under this Agreement, the Parties shall fully comply in all material respects with the requirements of any and all Applicable Law, including without limitation any applicable privacy and data protection laws.</w:t>
      </w:r>
    </w:p>
    <w:p>
      <w:pPr>
        <w:spacing w:after="0" w:line="167"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color w:val="auto"/>
        </w:rPr>
        <w:t>14.12</w:t>
      </w:r>
      <w:r>
        <w:rPr>
          <w:rFonts w:ascii="Times New Roman" w:cs="Times New Roman" w:eastAsia="Times New Roman" w:hAnsi="Times New Roman"/>
          <w:sz w:val="21"/>
          <w:szCs w:val="21"/>
          <w:b w:val="1"/>
          <w:bCs w:val="1"/>
          <w:color w:val="auto"/>
        </w:rPr>
        <w:t>Construction</w:t>
      </w:r>
      <w:r>
        <w:rPr>
          <w:rFonts w:ascii="Times New Roman" w:cs="Times New Roman" w:eastAsia="Times New Roman" w:hAnsi="Times New Roman"/>
          <w:sz w:val="21"/>
          <w:szCs w:val="21"/>
          <w:color w:val="auto"/>
        </w:rPr>
        <w:t>. Except where the context expressly requires otherwise: (a) the use of the singular shall be deemed to include the plural (and vice versa); (b) the words “include”, “includes” and “including” shall (i) be deemed to be followed by the phrase “without limitation” and (ii) not be construed to limit the generality of any description preceding such term; (c) the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33" w:name="page234"/>
    <w:bookmarkEnd w:id="233"/>
    <w:p>
      <w:pPr>
        <w:jc w:val="both"/>
        <w:spacing w:after="0" w:line="232" w:lineRule="auto"/>
        <w:rPr>
          <w:sz w:val="20"/>
          <w:szCs w:val="20"/>
          <w:color w:val="auto"/>
        </w:rPr>
      </w:pPr>
      <w:r>
        <w:rPr>
          <w:rFonts w:ascii="Times New Roman" w:cs="Times New Roman" w:eastAsia="Times New Roman" w:hAnsi="Times New Roman"/>
          <w:sz w:val="22"/>
          <w:szCs w:val="22"/>
          <w:color w:val="auto"/>
        </w:rPr>
        <w:t>word “will” will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assigns; (f) the words “herein”, “hereof” and “hereunder”, and words of similar import, shall be construed to refer to this Agreement in its entirety and not to any particular provision hereof; (g) the word “or” is used in the inclusive sense (“and/or”), unless explicitly indicated otherwise by the term “either/or”; (h) the word “extent” in the phrase “to the extent” means the degree to which a subject or other thing extends, and such phrase does not mean simply “if”; (i) all references herein to Sections or Exhibits shall be construed to refer to Sections or Exhibits of this Agreement, and references to this Agreement include all Exhibits hereto; (j) the word “notice” means notice in writing (whether or not specifically stated) and shall include notices, consents, approvals and other written communications contemplated under this Agreement; (k) provisions that require that a Party, the Parties “agree,” “consent” or “approve” or the like shall require that such agreement, consent or approval be specific and in writing, whether by written agreement, letter, or otherwise (but excluding instant messaging), (l) the headings and recitals in this Agreement are for information only and shall not be considered in the interpretation of this Agreement; (m) references to any specific law, rule or regulation, or article, section or other division thereof, shall be deemed to include the then-current amendments thereto or any replacement or successor law, rule or regulation thereof; and (n) the phrase “to the extent” means “solely to the extent”. The Parties agree that the terms and conditions of this Agreement are the result of negotiations between the Parties and that this Agreement shall not be construed in favor of or against any Party by reason of the extent to which any Party participated in the preparation of this Agreement. This Agreement shall be interpreted in its entirety and the fact that certain provisions of this Agreement may be cross-referenced shall not be deemed or construed to limit the application of other provisions of this Agreement to such cross-referenced provision and vice versa.</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14.13</w:t>
      </w:r>
      <w:r>
        <w:rPr>
          <w:rFonts w:ascii="Times New Roman" w:cs="Times New Roman" w:eastAsia="Times New Roman" w:hAnsi="Times New Roman"/>
          <w:sz w:val="22"/>
          <w:szCs w:val="22"/>
          <w:b w:val="1"/>
          <w:bCs w:val="1"/>
          <w:color w:val="auto"/>
        </w:rPr>
        <w:t>No Third Party Beneficiaries</w:t>
      </w:r>
      <w:r>
        <w:rPr>
          <w:rFonts w:ascii="Times New Roman" w:cs="Times New Roman" w:eastAsia="Times New Roman" w:hAnsi="Times New Roman"/>
          <w:sz w:val="22"/>
          <w:szCs w:val="22"/>
          <w:color w:val="auto"/>
        </w:rPr>
        <w:t>. Nothing in this Agreement shall be construed as giving any Person, other than the Parties hereto and their successors and permitted assigns, any right, remedy or claim under or in respect of this Agreement or any provision hereof.</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14.14</w:t>
      </w: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through the use of facsimiles or .pdf documents and may be executed in more than one counterpart, each of which shall be deemed to be an original but all of which taken together shall be deemed a single instrument.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932815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34" w:name="page235"/>
    <w:bookmarkEnd w:id="234"/>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their duly authorized representatives to execute this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58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IMMUNOSCAPE PTE. LTD.</w:t>
            </w:r>
          </w:p>
        </w:tc>
        <w:tc>
          <w:tcPr>
            <w:tcW w:w="7660" w:type="dxa"/>
            <w:vAlign w:val="bottom"/>
            <w:gridSpan w:val="6"/>
          </w:tcPr>
          <w:p>
            <w:pPr>
              <w:ind w:left="2140"/>
              <w:spacing w:after="0"/>
              <w:rPr>
                <w:sz w:val="20"/>
                <w:szCs w:val="20"/>
                <w:color w:val="auto"/>
              </w:rPr>
            </w:pPr>
            <w:r>
              <w:rPr>
                <w:rFonts w:ascii="Times New Roman" w:cs="Times New Roman" w:eastAsia="Times New Roman" w:hAnsi="Times New Roman"/>
                <w:sz w:val="22"/>
                <w:szCs w:val="22"/>
                <w:color w:val="auto"/>
              </w:rPr>
              <w:t>CUE BIOPHARMA, INC.</w:t>
            </w:r>
          </w:p>
        </w:tc>
      </w:tr>
      <w:tr>
        <w:trPr>
          <w:trHeight w:val="623"/>
        </w:trPr>
        <w:tc>
          <w:tcPr>
            <w:tcW w:w="358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By:/s/ Michael Fehlings</w:t>
            </w:r>
          </w:p>
        </w:tc>
        <w:tc>
          <w:tcPr>
            <w:tcW w:w="7660" w:type="dxa"/>
            <w:vAlign w:val="bottom"/>
            <w:gridSpan w:val="6"/>
          </w:tcPr>
          <w:p>
            <w:pPr>
              <w:ind w:left="2140"/>
              <w:spacing w:after="0"/>
              <w:rPr>
                <w:sz w:val="20"/>
                <w:szCs w:val="20"/>
                <w:color w:val="auto"/>
              </w:rPr>
            </w:pPr>
            <w:r>
              <w:rPr>
                <w:rFonts w:ascii="Times New Roman" w:cs="Times New Roman" w:eastAsia="Times New Roman" w:hAnsi="Times New Roman"/>
                <w:sz w:val="22"/>
                <w:szCs w:val="22"/>
                <w:color w:val="auto"/>
              </w:rPr>
              <w:t>By: /s/ Lucinda Warren</w:t>
            </w:r>
          </w:p>
        </w:tc>
      </w:tr>
      <w:tr>
        <w:trPr>
          <w:trHeight w:val="20"/>
        </w:trPr>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39"/>
        </w:trPr>
        <w:tc>
          <w:tcPr>
            <w:tcW w:w="358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Name: Michael Fehlings</w:t>
            </w:r>
          </w:p>
        </w:tc>
        <w:tc>
          <w:tcPr>
            <w:tcW w:w="7660" w:type="dxa"/>
            <w:vAlign w:val="bottom"/>
            <w:gridSpan w:val="6"/>
          </w:tcPr>
          <w:p>
            <w:pPr>
              <w:ind w:left="2140"/>
              <w:spacing w:after="0"/>
              <w:rPr>
                <w:sz w:val="20"/>
                <w:szCs w:val="20"/>
                <w:color w:val="auto"/>
              </w:rPr>
            </w:pPr>
            <w:r>
              <w:rPr>
                <w:rFonts w:ascii="Times New Roman" w:cs="Times New Roman" w:eastAsia="Times New Roman" w:hAnsi="Times New Roman"/>
                <w:sz w:val="22"/>
                <w:szCs w:val="22"/>
                <w:color w:val="auto"/>
              </w:rPr>
              <w:t>Name: Lucinda Warren</w:t>
            </w:r>
          </w:p>
        </w:tc>
      </w:tr>
      <w:tr>
        <w:trPr>
          <w:trHeight w:val="20"/>
        </w:trPr>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39"/>
        </w:trPr>
        <w:tc>
          <w:tcPr>
            <w:tcW w:w="358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Title: CEO</w:t>
            </w:r>
          </w:p>
        </w:tc>
        <w:tc>
          <w:tcPr>
            <w:tcW w:w="7660" w:type="dxa"/>
            <w:vAlign w:val="bottom"/>
            <w:gridSpan w:val="6"/>
          </w:tcPr>
          <w:p>
            <w:pPr>
              <w:ind w:left="2140"/>
              <w:spacing w:after="0"/>
              <w:rPr>
                <w:sz w:val="20"/>
                <w:szCs w:val="20"/>
                <w:color w:val="auto"/>
              </w:rPr>
            </w:pPr>
            <w:r>
              <w:rPr>
                <w:rFonts w:ascii="Times New Roman" w:cs="Times New Roman" w:eastAsia="Times New Roman" w:hAnsi="Times New Roman"/>
                <w:sz w:val="22"/>
                <w:szCs w:val="22"/>
                <w:color w:val="auto"/>
              </w:rPr>
              <w:t>Title: Chief Business Officer</w:t>
            </w: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20" w:type="dxa"/>
            <w:vAlign w:val="bottom"/>
            <w:gridSpan w:val="3"/>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505"/>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60" w:type="dxa"/>
            <w:vAlign w:val="bottom"/>
            <w:gridSpan w:val="6"/>
          </w:tcPr>
          <w:p>
            <w:pPr>
              <w:ind w:left="860"/>
              <w:spacing w:after="0"/>
              <w:rPr>
                <w:sz w:val="20"/>
                <w:szCs w:val="20"/>
                <w:color w:val="auto"/>
              </w:rPr>
            </w:pPr>
            <w:r>
              <w:rPr>
                <w:rFonts w:ascii="Times New Roman" w:cs="Times New Roman" w:eastAsia="Times New Roman" w:hAnsi="Times New Roman"/>
                <w:sz w:val="22"/>
                <w:szCs w:val="22"/>
                <w:color w:val="auto"/>
              </w:rPr>
              <w:t>Exhibit A – Signature Page</w:t>
            </w:r>
          </w:p>
        </w:tc>
      </w:tr>
      <w:tr>
        <w:trPr>
          <w:trHeight w:val="1143"/>
        </w:trPr>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3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Exhibit 1.141</w:t>
      </w:r>
    </w:p>
    <w:p>
      <w:pPr>
        <w:spacing w:after="0" w:line="20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Transfer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capitalized terms not defined in this Transfer Plan shall have the meanings given to them in the Agreement.</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FTE</w:t>
      </w:r>
      <w:r>
        <w:rPr>
          <w:rFonts w:ascii="Times New Roman" w:cs="Times New Roman" w:eastAsia="Times New Roman" w:hAnsi="Times New Roman"/>
          <w:sz w:val="22"/>
          <w:szCs w:val="22"/>
          <w:color w:val="auto"/>
        </w:rPr>
        <w:t>” means the equivalent of a full-time employee or consultant based on annual working hours of [**] hours per year (with no further reductions for vacations and holidays). Overtime, and work on weekends, holidays and the like will not be counted with any multiplier (e.g., time-and-a-half or double time) toward the number of hours that are used to calculate the FTE contribution. Additionally, any individual contributing fewer than [**] hours per Calendar Year (or equivalent pro-rata portion thereof for any partial Calendar Year during the Term) will be deemed a fraction of an FTE on a pro-rata basis. The portion of an FTE year devoted by an employee or consultant to activities contemplated by this Agreement will be determined by dividing the number of hours during any twelve (12) month period devoted by such employee or consultant to such activities by [**] hours; provided that no matter how many hours an individual employee or consultant works in such twelve (12) month period, such employee or consultant will in no event count for more than one FTE.</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FTE Costs</w:t>
      </w:r>
      <w:r>
        <w:rPr>
          <w:rFonts w:ascii="Times New Roman" w:cs="Times New Roman" w:eastAsia="Times New Roman" w:hAnsi="Times New Roman"/>
          <w:sz w:val="22"/>
          <w:szCs w:val="22"/>
          <w:color w:val="auto"/>
        </w:rPr>
        <w:t>” means, for any period, the FTE Rate multiplied by the number of FTEs in such period. FTEs will be pro-rated on a daily basis if necessary. The FTE Rate for each Calendar Year after 2026 shall be subject to an annual adjustment equal to the change in the consumer price index for the immediately preceding Calendar Year as reported by the United States Bureau of Labor Statistics.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FTE Rate</w:t>
      </w:r>
      <w:r>
        <w:rPr>
          <w:rFonts w:ascii="Times New Roman" w:cs="Times New Roman" w:eastAsia="Times New Roman" w:hAnsi="Times New Roman"/>
          <w:sz w:val="22"/>
          <w:szCs w:val="22"/>
          <w:color w:val="auto"/>
        </w:rPr>
        <w:t>” means a rate of [**] Dollars ($[**]), per FTE per Calendar Year (pro-rated for any partial Calendar Year and for any partial Calendar Year during the Term). The FTE Rate shall be deemed to encompass compensation for expenses of salaries, benefits, supplies, other employee expenses and supporting overhead and general and administration allocations.</w:t>
      </w:r>
    </w:p>
    <w:p>
      <w:pPr>
        <w:spacing w:after="0" w:line="167" w:lineRule="exact"/>
        <w:rPr>
          <w:sz w:val="20"/>
          <w:szCs w:val="20"/>
          <w:color w:val="auto"/>
        </w:rPr>
      </w:pPr>
    </w:p>
    <w:p>
      <w:pPr>
        <w:jc w:val="both"/>
        <w:ind w:firstLine="8"/>
        <w:spacing w:after="0" w:line="286" w:lineRule="auto"/>
        <w:tabs>
          <w:tab w:leader="none" w:pos="229"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Procedure for Requesting Support. </w:t>
      </w:r>
      <w:r>
        <w:rPr>
          <w:rFonts w:ascii="Times New Roman" w:cs="Times New Roman" w:eastAsia="Times New Roman" w:hAnsi="Times New Roman"/>
          <w:sz w:val="21"/>
          <w:szCs w:val="21"/>
          <w:color w:val="auto"/>
        </w:rPr>
        <w:t>Notwithstanding any provision to the contrary in the Agreement, any and all Transfer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Activities shall solely be upon IMSCP’s written request (subject to a reasonable notice period) and during normal business hours.</w:t>
      </w:r>
    </w:p>
    <w:p>
      <w:pPr>
        <w:spacing w:after="0" w:line="126" w:lineRule="exact"/>
        <w:rPr>
          <w:rFonts w:ascii="Times New Roman" w:cs="Times New Roman" w:eastAsia="Times New Roman" w:hAnsi="Times New Roman"/>
          <w:sz w:val="21"/>
          <w:szCs w:val="21"/>
          <w:color w:val="auto"/>
        </w:rPr>
      </w:pPr>
    </w:p>
    <w:p>
      <w:pPr>
        <w:jc w:val="both"/>
        <w:ind w:firstLine="8"/>
        <w:spacing w:after="0" w:line="235" w:lineRule="auto"/>
        <w:tabs>
          <w:tab w:leader="none" w:pos="216"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Payment Obligations. </w:t>
      </w:r>
      <w:r>
        <w:rPr>
          <w:rFonts w:ascii="Times New Roman" w:cs="Times New Roman" w:eastAsia="Times New Roman" w:hAnsi="Times New Roman"/>
          <w:sz w:val="22"/>
          <w:szCs w:val="22"/>
          <w:color w:val="auto"/>
        </w:rPr>
        <w:t>Prior to Cue commencing any Transfer Activities for which Cue is to be reimbursed for FTE Costs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out-of-pocket costs, IMSCP will make an advance payment for at least [**] percent ([**]%) of such anticipated Transfer Activities (such advance payment to be a reasonable estimate mutually agreed upon by the Parties). Cue will invoice IMSCP for the remaining FTE Costs and documented out-of-pocket costs incurred to provide such Transfer Activities in excess of its advance payments, and IMSCP will pay the invoiced amounts within [**] of receipt of invoice. If any payment for Transfer Activities is disputed or not timely made in accordance with the foregoing, Cue will have the right to suspend such Transfer Activities until IMSCP pays Cue any and all amounts accrued and due. Notwithstanding anything in the Agreement to the contrary, to the extent any Transfer Activity involves the digital transfer of a</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ACTIVEUS 214653974v.2" "" ACTIVEUS 214653974v.2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21"/>
          <w:szCs w:val="21"/>
          <w:color w:val="auto"/>
        </w:rPr>
        <w:t>document already in Cue’s Control, Cue’s digital transfer of such document to IMSCP shall be performed by Cue at no cost.</w:t>
      </w:r>
    </w:p>
    <w:p>
      <w:pPr>
        <w:spacing w:after="0" w:line="106" w:lineRule="exact"/>
        <w:rPr>
          <w:sz w:val="20"/>
          <w:szCs w:val="20"/>
          <w:color w:val="auto"/>
        </w:rPr>
      </w:pPr>
    </w:p>
    <w:p>
      <w:pPr>
        <w:ind w:left="220" w:hanging="212"/>
        <w:spacing w:after="0"/>
        <w:tabs>
          <w:tab w:leader="none" w:pos="22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Transfer Activities </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1535430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273" w:right="799" w:bottom="1440" w:gutter="0" w:footer="0" w:header="0"/>
        </w:sectPr>
      </w:pPr>
    </w:p>
    <w:bookmarkStart w:id="237" w:name="page238"/>
    <w:bookmarkEnd w:id="237"/>
    <w:p>
      <w:pPr>
        <w:jc w:val="center"/>
        <w:spacing w:after="0"/>
        <w:rPr>
          <w:sz w:val="20"/>
          <w:szCs w:val="20"/>
          <w:color w:val="auto"/>
        </w:rPr>
      </w:pPr>
      <w:r>
        <w:rPr>
          <w:rFonts w:ascii="Times New Roman" w:cs="Times New Roman" w:eastAsia="Times New Roman" w:hAnsi="Times New Roman"/>
          <w:sz w:val="22"/>
          <w:szCs w:val="22"/>
          <w:b w:val="1"/>
          <w:bCs w:val="1"/>
          <w:color w:val="auto"/>
        </w:rPr>
        <w:t>Exhibit 3.6</w:t>
      </w:r>
    </w:p>
    <w:p>
      <w:pPr>
        <w:spacing w:after="0" w:line="206" w:lineRule="exact"/>
        <w:rPr>
          <w:sz w:val="20"/>
          <w:szCs w:val="20"/>
          <w:color w:val="auto"/>
        </w:rPr>
      </w:pPr>
    </w:p>
    <w:p>
      <w:pPr>
        <w:ind w:left="4500" w:hanging="421"/>
        <w:spacing w:after="0"/>
        <w:tabs>
          <w:tab w:leader="none" w:pos="45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Upstream License Provisions</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Notwithstanding anything to the contrary in this Agreement, to the extent necessary for Cue to comply with its obligations to [**] under the [**] License Agreement (and except as may otherwise be agreed, modified, or waived by [**]):</w:t>
      </w:r>
    </w:p>
    <w:p>
      <w:pPr>
        <w:spacing w:after="0" w:line="158" w:lineRule="exact"/>
        <w:rPr>
          <w:sz w:val="20"/>
          <w:szCs w:val="20"/>
          <w:color w:val="auto"/>
        </w:rPr>
      </w:pPr>
    </w:p>
    <w:p>
      <w:pPr>
        <w:jc w:val="both"/>
        <w:ind w:left="740" w:firstLine="751"/>
        <w:spacing w:after="0" w:line="236" w:lineRule="auto"/>
        <w:tabs>
          <w:tab w:leader="none" w:pos="204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Section [**] of the [**] License Agreement, any Licensed Products sold by IMSCP, its Affiliates, or its Sublicensees in Developing Countries, other than India, China, and Brazil, shall be sold at a price equal to its cost to manufacture, distribute, and/or sell the Licensed Product, excluding research and development costs associated with developing the Licensed Product and obtaining Regulatory Approvals, plus [**]. For purposes of the foregoing, "</w:t>
      </w:r>
      <w:r>
        <w:rPr>
          <w:rFonts w:ascii="Times New Roman" w:cs="Times New Roman" w:eastAsia="Times New Roman" w:hAnsi="Times New Roman"/>
          <w:sz w:val="22"/>
          <w:szCs w:val="22"/>
          <w:b w:val="1"/>
          <w:bCs w:val="1"/>
          <w:color w:val="auto"/>
        </w:rPr>
        <w:t>Developing Countries</w:t>
      </w:r>
      <w:r>
        <w:rPr>
          <w:rFonts w:ascii="Times New Roman" w:cs="Times New Roman" w:eastAsia="Times New Roman" w:hAnsi="Times New Roman"/>
          <w:sz w:val="22"/>
          <w:szCs w:val="22"/>
          <w:color w:val="auto"/>
        </w:rPr>
        <w:t>" means low and lower middle-income countries as defined by the World Bank from time to time during the term of this Agreement.</w:t>
      </w:r>
    </w:p>
    <w:p>
      <w:pPr>
        <w:spacing w:after="0" w:line="181" w:lineRule="exact"/>
        <w:rPr>
          <w:rFonts w:ascii="Times New Roman" w:cs="Times New Roman" w:eastAsia="Times New Roman" w:hAnsi="Times New Roman"/>
          <w:sz w:val="22"/>
          <w:szCs w:val="22"/>
          <w:color w:val="auto"/>
        </w:rPr>
      </w:pPr>
    </w:p>
    <w:p>
      <w:pPr>
        <w:jc w:val="both"/>
        <w:ind w:left="740" w:firstLine="751"/>
        <w:spacing w:after="0" w:line="233" w:lineRule="auto"/>
        <w:tabs>
          <w:tab w:leader="none" w:pos="204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Section [**] of the [**] License Agreement, IMSCP and Affiliates shall maintain complete and accurate books of account and records showing Net Sales. Such books and records of IMSCP and Affiliates shall be open to inspection, in confidence, during usual business hours, upon at least ten (10) business days prior notice by [**], by an independent certified public accountant appointed by [**] on behalf of Cue, who has entered into a written agreement of confidentiality with Cue which is no less protective of IMSCP’s Confidential Information than the provisions of Article 9 hereof and to whom IMSCP has no reasonable objection, for five (5) years after the Calendar Year to which they pertain, for the purpose of verifying the accuracy of the payments made to [**] by Cue based on amounts owed by IMSCP pursuant to this Agreement. IMSCP will use commercially reasonable efforts to require any Sublicensees hereunder to maintain such books and allow such inspection by IMSCP and shall, on request, disclose such information, if available to IMSCP, to Cue as part of such inspection. Any underpayment by Cue to [**] which was caused by IMSCP, as revealed by such inspection, plus interest on the underpayment amount at the rate of one and one-half percent (1.5%) per month or two hundred fifty Dollars ($250), whichever is greater, shall be promptly paid by IMSCP to Cue in reimbursement for its obligations to [**]. This Section 2 of Exhibit 3.6 is not intended to limit IMSCP’s obligations under Section 7.9 of the Agreement.</w:t>
      </w:r>
    </w:p>
    <w:p>
      <w:pPr>
        <w:spacing w:after="0" w:line="179" w:lineRule="exact"/>
        <w:rPr>
          <w:rFonts w:ascii="Times New Roman" w:cs="Times New Roman" w:eastAsia="Times New Roman" w:hAnsi="Times New Roman"/>
          <w:sz w:val="22"/>
          <w:szCs w:val="22"/>
          <w:color w:val="auto"/>
        </w:rPr>
      </w:pPr>
    </w:p>
    <w:p>
      <w:pPr>
        <w:jc w:val="both"/>
        <w:ind w:left="740" w:firstLine="751"/>
        <w:spacing w:after="0" w:line="249" w:lineRule="auto"/>
        <w:tabs>
          <w:tab w:leader="none" w:pos="2042"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Consistent with Section [**] of the [**] License Agreement, IMSCP shall not use the name of the [**] without [**]’s prior written consent, except if the use of such name is required by law, regulation, federal securities law, or judicial order, in which event IMSCP will promptly inform [**], prior to any such required use. IMSCP will not make any public announcement regarding the existence of the [**] License Agreement or the collaboration thereunder without obtaining the prior written consent of [**], except if such announcement is required by law, regulation, federal securities law or judicial order, in which event IMSCP will promptly inform [**] prior to any such required announcement.</w:t>
      </w:r>
    </w:p>
    <w:p>
      <w:pPr>
        <w:spacing w:after="0" w:line="170" w:lineRule="exact"/>
        <w:rPr>
          <w:rFonts w:ascii="Times New Roman" w:cs="Times New Roman" w:eastAsia="Times New Roman" w:hAnsi="Times New Roman"/>
          <w:sz w:val="21"/>
          <w:szCs w:val="21"/>
          <w:color w:val="auto"/>
        </w:rPr>
      </w:pPr>
    </w:p>
    <w:p>
      <w:pPr>
        <w:jc w:val="both"/>
        <w:ind w:left="740" w:firstLine="751"/>
        <w:spacing w:after="0" w:line="244" w:lineRule="auto"/>
        <w:tabs>
          <w:tab w:leader="none" w:pos="204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Section [**] of the [**] License Agreement, IMSCP agrees to indemnify [**] and its current or former directors, governing board members, trustees, officers, faculty, medical and professional staff, employees, students and agents and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929005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38" w:name="page239"/>
    <w:bookmarkEnd w:id="238"/>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respective successors, heirs and assigns ([**] and each such person being, solely for purposes of this Schedule, the “[**] </w:t>
      </w:r>
      <w:r>
        <w:rPr>
          <w:rFonts w:ascii="Times New Roman" w:cs="Times New Roman" w:eastAsia="Times New Roman" w:hAnsi="Times New Roman"/>
          <w:sz w:val="22"/>
          <w:szCs w:val="22"/>
          <w:b w:val="1"/>
          <w:bCs w:val="1"/>
          <w:color w:val="auto"/>
        </w:rPr>
        <w:t>Indemnified Parties</w:t>
      </w:r>
      <w:r>
        <w:rPr>
          <w:rFonts w:ascii="Times New Roman" w:cs="Times New Roman" w:eastAsia="Times New Roman" w:hAnsi="Times New Roman"/>
          <w:sz w:val="22"/>
          <w:szCs w:val="22"/>
          <w:color w:val="auto"/>
        </w:rPr>
        <w:t>”) for the cost of defense and for damages awarded and losses and liabilities incurred, if any,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result of any Third Party claims, liabilities, suits or judgments based on or arising out of the research, development, marketing, manufacture, sale or provision of Licensed Products or Know-How Products (each as defined in the [**] License Agreement) by IMSCP, its Affiliates and Sublicensees granted a sublicense under the [**] License Agreement, or otherwise related to the conduct of IMSCP’s or its affiliates’ or sublicensees’ (direct and indirect) business, so long as such claims, liabilities, suits, or judgments are not solely attributable to grossly negligent or intentionally wrongful acts or omissions by the [**] Indemnified Parties. This indemnity is conditioned upon [**] obligation to: (i) advise IMSCP of any claim or lawsuit, in writing promptly after [**] or the [**] Indemnified Party has received notice of said claim or lawsuit, (ii) assist IMSCP and its representatives, at IMSCP’s expense, in the investigation and defense of any lawsuit or claim for which indemnification is provided, and (iii) permit IMSCP to control the defense of such claim or lawsuit for which indemnification is provided.</w:t>
      </w:r>
    </w:p>
    <w:p>
      <w:pPr>
        <w:spacing w:after="0" w:line="185" w:lineRule="exact"/>
        <w:rPr>
          <w:sz w:val="20"/>
          <w:szCs w:val="20"/>
          <w:color w:val="auto"/>
        </w:rPr>
      </w:pPr>
    </w:p>
    <w:p>
      <w:pPr>
        <w:ind w:left="1300" w:hanging="549"/>
        <w:spacing w:after="0"/>
        <w:tabs>
          <w:tab w:leader="none" w:pos="130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Section [**] of the [**] License Agreement, IMSCP acknowledges that [**] has not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made:</w:t>
      </w:r>
    </w:p>
    <w:p>
      <w:pPr>
        <w:spacing w:after="0" w:line="182" w:lineRule="exact"/>
        <w:rPr>
          <w:sz w:val="20"/>
          <w:szCs w:val="20"/>
          <w:color w:val="auto"/>
        </w:rPr>
      </w:pPr>
    </w:p>
    <w:p>
      <w:pPr>
        <w:jc w:val="both"/>
        <w:ind w:left="760" w:hanging="6"/>
        <w:spacing w:after="0" w:line="244" w:lineRule="auto"/>
        <w:tabs>
          <w:tab w:leader="none" w:pos="1192"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warranty or representation that anything made or used by IMSCP under any license or sublicense granted under the [**] License Agreement is or will be free from infringement of Patents, copyrights, and other rights of Third Parties; or</w:t>
      </w:r>
    </w:p>
    <w:p>
      <w:pPr>
        <w:spacing w:after="0" w:line="173" w:lineRule="exact"/>
        <w:rPr>
          <w:rFonts w:ascii="Times New Roman" w:cs="Times New Roman" w:eastAsia="Times New Roman" w:hAnsi="Times New Roman"/>
          <w:sz w:val="22"/>
          <w:szCs w:val="22"/>
          <w:color w:val="auto"/>
        </w:rPr>
      </w:pPr>
    </w:p>
    <w:p>
      <w:pPr>
        <w:ind w:left="760" w:right="20" w:hanging="6"/>
        <w:spacing w:after="0" w:line="258" w:lineRule="auto"/>
        <w:tabs>
          <w:tab w:leader="none" w:pos="1192"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granting by implication, estoppel, or otherwise of any license, right or interest other than as expressly set forth in the [**] License Agreement.</w:t>
      </w:r>
    </w:p>
    <w:p>
      <w:pPr>
        <w:spacing w:after="0" w:line="158" w:lineRule="exact"/>
        <w:rPr>
          <w:rFonts w:ascii="Times New Roman" w:cs="Times New Roman" w:eastAsia="Times New Roman" w:hAnsi="Times New Roman"/>
          <w:sz w:val="22"/>
          <w:szCs w:val="22"/>
          <w:color w:val="auto"/>
        </w:rPr>
      </w:pPr>
    </w:p>
    <w:p>
      <w:pPr>
        <w:jc w:val="both"/>
        <w:ind w:firstLine="751"/>
        <w:spacing w:after="0" w:line="247" w:lineRule="auto"/>
        <w:tabs>
          <w:tab w:leader="none" w:pos="1302"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Consistent with Section [**] of the [**] License Agreement, IMSCP acknowledges that, except as expressly set forth in the [**] License Agreement, [**] MAKES NO REPRESENTATIONS AND EXTENDS NO WARRANTIES OF ANY KIND, EITHER EXPRESS OR IMPLIED, EITHER IN FACT OR BY OPERATION OF LAW, STATUTE OR OTHERWISE, AND [**] SPECIFICALLY DISCLAIMS ANY IMPLIED WARRANTY OF MERCHANTABILITY OR FITNESS FOR A PARTICULAR PURPOSE, OR WARRANTY OF NON-INFRINGEMENT. IN ADDITION, [**] SHALL NOT BE LIABLE TO IMSCP FOR ANY SPECIAL, INDIRECT, INCIDENTAL OR CONSEQUENTIAL DAMAGES, HOWEVER CAUSED, UNDER ANY THEORY OF LIABILITY AND WHETHER OR NOT [**] HAS BEEN ADVISED OF THE POSSIBILITY OF SUCH DAMAGES.</w:t>
      </w:r>
    </w:p>
    <w:p>
      <w:pPr>
        <w:spacing w:after="0" w:line="171" w:lineRule="exact"/>
        <w:rPr>
          <w:rFonts w:ascii="Times New Roman" w:cs="Times New Roman" w:eastAsia="Times New Roman" w:hAnsi="Times New Roman"/>
          <w:sz w:val="21"/>
          <w:szCs w:val="21"/>
          <w:color w:val="auto"/>
        </w:rPr>
      </w:pPr>
    </w:p>
    <w:p>
      <w:pPr>
        <w:jc w:val="both"/>
        <w:ind w:firstLine="751"/>
        <w:spacing w:after="0" w:line="239" w:lineRule="auto"/>
        <w:tabs>
          <w:tab w:leader="none" w:pos="130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Section [**] of the [**] License Agreement, IMSCP and its Affiliates will acquire and maintain appropriate insurance coverage as set forth therein and otherwise observe and abide by the provisions of such Section [**]. IMSCP’s Affiliates and Sublicensees (direct and indirect) shall also observe the provisions of such Section [**].</w:t>
      </w:r>
    </w:p>
    <w:p>
      <w:pPr>
        <w:spacing w:after="0" w:line="180" w:lineRule="exact"/>
        <w:rPr>
          <w:rFonts w:ascii="Times New Roman" w:cs="Times New Roman" w:eastAsia="Times New Roman" w:hAnsi="Times New Roman"/>
          <w:sz w:val="22"/>
          <w:szCs w:val="22"/>
          <w:color w:val="auto"/>
        </w:rPr>
      </w:pPr>
    </w:p>
    <w:p>
      <w:pPr>
        <w:ind w:firstLine="751"/>
        <w:spacing w:after="0" w:line="258" w:lineRule="auto"/>
        <w:tabs>
          <w:tab w:leader="none" w:pos="130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Section [**] of the [**] License Agreement, Licensed Products for use or sale in the United States will be manufactured substantially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919480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1060" w:top="1273" w:right="339" w:bottom="1440" w:gutter="0" w:footer="0" w:header="0"/>
        </w:sectPr>
      </w:pPr>
    </w:p>
    <w:bookmarkStart w:id="239" w:name="page240"/>
    <w:bookmarkEnd w:id="239"/>
    <w:p>
      <w:pPr>
        <w:jc w:val="both"/>
        <w:ind w:left="-380" w:firstLine="751"/>
        <w:spacing w:after="0" w:line="244" w:lineRule="auto"/>
        <w:tabs>
          <w:tab w:leader="none" w:pos="92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Consistent with Section [**] of the [**] License Agreement, IMSCP will promptly notify Cue in writing if IMSCP or any of its Affiliates or Sublicensees ceases to be a small entity (as defined by the United States Patent and Trademark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929005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273" w:right="359" w:bottom="1440"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2202180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SUBSIDIARIES OF CUE BIOPHARMA, INC.</w:t>
      </w:r>
    </w:p>
    <w:p>
      <w:pPr>
        <w:spacing w:after="0" w:line="233"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Registrant’s consolidated subsidiaries are shown below, together with the state or jurisdiction of organization of each subsidiary and the percentage of voting securities that Registrant owns in each subsidiary.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382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c>
          <w:tcPr>
            <w:tcW w:w="338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Percent of Outstanding</w:t>
            </w:r>
          </w:p>
        </w:tc>
      </w:tr>
      <w:tr>
        <w:trPr>
          <w:trHeight w:val="216"/>
        </w:trPr>
        <w:tc>
          <w:tcPr>
            <w:tcW w:w="4040" w:type="dxa"/>
            <w:vAlign w:val="bottom"/>
          </w:tcPr>
          <w:p>
            <w:pPr>
              <w:spacing w:after="0"/>
              <w:rPr>
                <w:sz w:val="18"/>
                <w:szCs w:val="18"/>
                <w:color w:val="auto"/>
              </w:rPr>
            </w:pPr>
          </w:p>
        </w:tc>
        <w:tc>
          <w:tcPr>
            <w:tcW w:w="382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Incorporation or</w:t>
            </w:r>
          </w:p>
        </w:tc>
        <w:tc>
          <w:tcPr>
            <w:tcW w:w="33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Voting Securities</w:t>
            </w:r>
          </w:p>
        </w:tc>
      </w:tr>
      <w:tr>
        <w:trPr>
          <w:trHeight w:val="238"/>
        </w:trPr>
        <w:tc>
          <w:tcPr>
            <w:tcW w:w="4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82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33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Owned</w:t>
            </w:r>
          </w:p>
        </w:tc>
      </w:tr>
      <w:tr>
        <w:trPr>
          <w:trHeight w:val="228"/>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Cue Biopharma Securities Corp.</w:t>
            </w:r>
          </w:p>
        </w:tc>
        <w:tc>
          <w:tcPr>
            <w:tcW w:w="38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Massachusetts</w:t>
            </w:r>
          </w:p>
        </w:tc>
        <w:tc>
          <w:tcPr>
            <w:tcW w:w="33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2" w:name="page243"/>
    <w:bookmarkEnd w:id="2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80"/>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consent to the incorporation by reference in the Registration Statements (Nos. 333-289528, 333-286258, 333-278329, 333-270718, 333-263624, 333-254045, 333-237140, 333-230282 and 333-224018) on Form S-8 and Registration Statements (Nos. 333-271786 and 333-268687) on Form S-3 of Cue Biopharma, Inc. of our report dated March 16, 2026, relating to the consolidated financial statements of Cue Biopharma, Inc. and subsidiary, appearing in this Annual Report on Form 10-K of Cue Biopharma, Inc. for the year ended December 31, 2025.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Usman Azam, certify that:</w:t>
      </w:r>
    </w:p>
    <w:p>
      <w:pPr>
        <w:spacing w:after="0" w:line="185" w:lineRule="exact"/>
        <w:rPr>
          <w:sz w:val="20"/>
          <w:szCs w:val="20"/>
          <w:color w:val="auto"/>
        </w:rPr>
      </w:pPr>
    </w:p>
    <w:p>
      <w:pPr>
        <w:ind w:left="520" w:hanging="512"/>
        <w:spacing w:after="0"/>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Cue Biopharma, Inc.;</w:t>
      </w:r>
    </w:p>
    <w:p>
      <w:pPr>
        <w:spacing w:after="0" w:line="198"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1020" w:right="740" w:hanging="503"/>
        <w:spacing w:after="0" w:line="282" w:lineRule="auto"/>
        <w:tabs>
          <w:tab w:leader="none" w:pos="10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Usman Azam</w:t>
      </w:r>
    </w:p>
    <w:p>
      <w:pPr>
        <w:spacing w:after="0" w:line="27" w:lineRule="exact"/>
        <w:rPr>
          <w:sz w:val="20"/>
          <w:szCs w:val="20"/>
          <w:color w:val="auto"/>
        </w:rPr>
      </w:pPr>
    </w:p>
    <w:tbl>
      <w:tblPr>
        <w:tblLayout w:type="fixed"/>
        <w:tblInd w:w="520" w:type="dxa"/>
        <w:tblCellMar>
          <w:top w:w="0" w:type="dxa"/>
          <w:left w:w="0" w:type="dxa"/>
          <w:bottom w:w="0" w:type="dxa"/>
          <w:right w:w="0" w:type="dxa"/>
        </w:tblCellMar>
      </w:tblPr>
      <w:tr>
        <w:trPr>
          <w:trHeight w:val="191"/>
        </w:trPr>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0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Usman Azam</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ind w:left="5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Lucinda Warren, certify that:</w:t>
      </w:r>
    </w:p>
    <w:p>
      <w:pPr>
        <w:spacing w:after="0" w:line="185" w:lineRule="exact"/>
        <w:rPr>
          <w:sz w:val="20"/>
          <w:szCs w:val="20"/>
          <w:color w:val="auto"/>
        </w:rPr>
      </w:pPr>
    </w:p>
    <w:p>
      <w:pPr>
        <w:ind w:left="520" w:hanging="512"/>
        <w:spacing w:after="0"/>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Cue Biopharma,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1020" w:right="740" w:hanging="503"/>
        <w:spacing w:after="0" w:line="282" w:lineRule="auto"/>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Lucinda Warren</w:t>
      </w:r>
    </w:p>
    <w:p>
      <w:pPr>
        <w:spacing w:after="0" w:line="27" w:lineRule="exact"/>
        <w:rPr>
          <w:sz w:val="20"/>
          <w:szCs w:val="20"/>
          <w:color w:val="auto"/>
        </w:rPr>
      </w:pPr>
    </w:p>
    <w:tbl>
      <w:tblPr>
        <w:tblLayout w:type="fixed"/>
        <w:tblInd w:w="520" w:type="dxa"/>
        <w:tblCellMar>
          <w:top w:w="0" w:type="dxa"/>
          <w:left w:w="0" w:type="dxa"/>
          <w:bottom w:w="0" w:type="dxa"/>
          <w:right w:w="0" w:type="dxa"/>
        </w:tblCellMar>
      </w:tblPr>
      <w:tr>
        <w:trPr>
          <w:trHeight w:val="191"/>
        </w:trPr>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0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Lucinda Warren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and Business Officer</w:t>
            </w:r>
          </w:p>
        </w:tc>
      </w:tr>
    </w:tbl>
    <w:p>
      <w:pPr>
        <w:ind w:left="5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Cue Biopharma, Inc. (the “Company”) for the year ended December 31, 2025 as filed with the Securities and Exchange Commission on the date hereof (the “Report”), we, Usman Azam, President and Chief Executive Officer of the Company, and Lucinda Warren, Chief Financial and Business Officer of the Company, certify, pursuant to 18 U.S.C. § 1350, as adopted pursuant to § 906 of the Sarbanes-Oxley Act of 2002, to our knowledge that:</w:t>
      </w:r>
    </w:p>
    <w:p>
      <w:pPr>
        <w:spacing w:after="0" w:line="139" w:lineRule="exact"/>
        <w:rPr>
          <w:sz w:val="20"/>
          <w:szCs w:val="20"/>
          <w:color w:val="auto"/>
        </w:rPr>
      </w:pPr>
    </w:p>
    <w:p>
      <w:pPr>
        <w:ind w:left="1020" w:hanging="503"/>
        <w:spacing w:after="0"/>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 Usman Azam</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 Lucinda Warren</w:t>
            </w:r>
          </w:p>
        </w:tc>
      </w:tr>
      <w:tr>
        <w:trPr>
          <w:trHeight w:val="228"/>
        </w:trPr>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Usman Azam</w:t>
            </w:r>
          </w:p>
        </w:tc>
        <w:tc>
          <w:tcPr>
            <w:tcW w:w="220" w:type="dxa"/>
            <w:vAlign w:val="bottom"/>
          </w:tcPr>
          <w:p>
            <w:pPr>
              <w:spacing w:after="0"/>
              <w:rPr>
                <w:sz w:val="19"/>
                <w:szCs w:val="19"/>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Lucinda Warren</w:t>
            </w:r>
          </w:p>
        </w:tc>
      </w:tr>
      <w:tr>
        <w:trPr>
          <w:trHeight w:val="22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 Chief Financial and Business Officer</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Date: March 16, 2026</w:t>
            </w:r>
          </w:p>
        </w:tc>
      </w:tr>
      <w:tr>
        <w:trPr>
          <w:trHeight w:val="1235"/>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46" w:name="page247"/>
    <w:bookmarkEnd w:id="2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
      <w:numFmt w:val="bullet"/>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1)"/>
      <w:numFmt w:val="lowerRoman"/>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o"/>
      <w:numFmt w:val="bullet"/>
      <w:start w:val="1"/>
    </w:lvl>
  </w:abstractNum>
  <w:abstractNum w:abstractNumId="40">
    <w:nsid w:val="5F3534A4"/>
    <w:multiLevelType w:val="hybridMultilevel"/>
    <w:lvl w:ilvl="0">
      <w:lvlJc w:val="left"/>
      <w:lvlText w:val="%1."/>
      <w:numFmt w:val="decimal"/>
      <w:start w:val="1"/>
    </w:lvl>
  </w:abstractNum>
  <w:abstractNum w:abstractNumId="41">
    <w:nsid w:val="73A1821B"/>
    <w:multiLevelType w:val="hybridMultilevel"/>
    <w:lvl w:ilvl="0">
      <w:lvlJc w:val="left"/>
      <w:lvlText w:val="%1."/>
      <w:numFmt w:val="decimal"/>
      <w:start w:val="2"/>
    </w:lvl>
  </w:abstractNum>
  <w:abstractNum w:abstractNumId="42">
    <w:nsid w:val="7DE67713"/>
    <w:multiLevelType w:val="hybridMultilevel"/>
    <w:lvl w:ilvl="0">
      <w:lvlJc w:val="left"/>
      <w:lvlText w:val="(%1)"/>
      <w:numFmt w:val="lowerRoman"/>
      <w:start w:val="1"/>
    </w:lvl>
  </w:abstractNum>
  <w:abstractNum w:abstractNumId="43">
    <w:nsid w:val="555C55B5"/>
    <w:multiLevelType w:val="hybridMultilevel"/>
    <w:lvl w:ilvl="0">
      <w:lvlJc w:val="left"/>
      <w:lvlText w:val="%1."/>
      <w:numFmt w:val="decimal"/>
      <w:start w:val="3"/>
    </w:lvl>
  </w:abstractNum>
  <w:abstractNum w:abstractNumId="44">
    <w:nsid w:val="3FA62ACA"/>
    <w:multiLevelType w:val="hybridMultilevel"/>
    <w:lvl w:ilvl="0">
      <w:lvlJc w:val="left"/>
      <w:lvlText w:val="%1."/>
      <w:numFmt w:val="decimal"/>
      <w:start w:val="5"/>
    </w:lvl>
  </w:abstractNum>
  <w:abstractNum w:abstractNumId="45">
    <w:nsid w:val="14FCE74E"/>
    <w:multiLevelType w:val="hybridMultilevel"/>
    <w:lvl w:ilvl="0">
      <w:lvlJc w:val="left"/>
      <w:lvlText w:val="(%1)"/>
      <w:numFmt w:val="lowerLetter"/>
      <w:start w:val="2"/>
    </w:lvl>
  </w:abstractNum>
  <w:abstractNum w:abstractNumId="46">
    <w:nsid w:val="6A3DD3E8"/>
    <w:multiLevelType w:val="hybridMultilevel"/>
    <w:lvl w:ilvl="0">
      <w:lvlJc w:val="left"/>
      <w:lvlText w:val="%1."/>
      <w:numFmt w:val="decimal"/>
      <w:start w:val="6"/>
    </w:lvl>
  </w:abstractNum>
  <w:abstractNum w:abstractNumId="47">
    <w:nsid w:val="71C91298"/>
    <w:multiLevelType w:val="hybridMultilevel"/>
    <w:lvl w:ilvl="0">
      <w:lvlJc w:val="left"/>
      <w:lvlText w:val="%1."/>
      <w:numFmt w:val="decimal"/>
      <w:start w:val="7"/>
    </w:lvl>
  </w:abstractNum>
  <w:abstractNum w:abstractNumId="48">
    <w:nsid w:val="9DAF632"/>
    <w:multiLevelType w:val="hybridMultilevel"/>
    <w:lvl w:ilvl="0">
      <w:lvlJc w:val="left"/>
      <w:lvlText w:val="%1."/>
      <w:numFmt w:val="decimal"/>
      <w:start w:val="8"/>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1."/>
      <w:numFmt w:val="decimal"/>
      <w:start w:val="9"/>
    </w:lvl>
  </w:abstractNum>
  <w:abstractNum w:abstractNumId="51">
    <w:nsid w:val="5092CA79"/>
    <w:multiLevelType w:val="hybridMultilevel"/>
    <w:lvl w:ilvl="0">
      <w:lvlJc w:val="left"/>
      <w:lvlText w:val="%1."/>
      <w:numFmt w:val="decimal"/>
      <w:start w:val="10"/>
    </w:lvl>
  </w:abstractNum>
  <w:abstractNum w:abstractNumId="52">
    <w:nsid w:val="1D545C4D"/>
    <w:multiLevelType w:val="hybridMultilevel"/>
    <w:lvl w:ilvl="0">
      <w:lvlJc w:val="left"/>
      <w:lvlText w:val="(%1)"/>
      <w:numFmt w:val="lowerLetter"/>
      <w:start w:val="1"/>
    </w:lvl>
  </w:abstractNum>
  <w:abstractNum w:abstractNumId="53">
    <w:nsid w:val="59ADEA3D"/>
    <w:multiLevelType w:val="hybridMultilevel"/>
    <w:lvl w:ilvl="0">
      <w:lvlJc w:val="left"/>
      <w:lvlText w:val="%1."/>
      <w:numFmt w:val="decimal"/>
      <w:start w:val="11"/>
    </w:lvl>
  </w:abstractNum>
  <w:abstractNum w:abstractNumId="54">
    <w:nsid w:val="288F1A34"/>
    <w:multiLevelType w:val="hybridMultilevel"/>
    <w:lvl w:ilvl="0">
      <w:lvlJc w:val="left"/>
      <w:lvlText w:val="%1."/>
      <w:numFmt w:val="decimal"/>
      <w:start w:val="12"/>
    </w:lvl>
  </w:abstractNum>
  <w:abstractNum w:abstractNumId="55">
    <w:nsid w:val="2A155DBC"/>
    <w:multiLevelType w:val="hybridMultilevel"/>
    <w:lvl w:ilvl="0">
      <w:lvlJc w:val="left"/>
      <w:lvlText w:val="%1."/>
      <w:numFmt w:val="decimal"/>
      <w:start w:val="13"/>
    </w:lvl>
  </w:abstractNum>
  <w:abstractNum w:abstractNumId="56">
    <w:nsid w:val="1D9F6E5F"/>
    <w:multiLevelType w:val="hybridMultilevel"/>
    <w:lvl w:ilvl="0">
      <w:lvlJc w:val="left"/>
      <w:lvlText w:val="%1."/>
      <w:numFmt w:val="decimal"/>
      <w:start w:val="15"/>
    </w:lvl>
  </w:abstractNum>
  <w:abstractNum w:abstractNumId="57">
    <w:nsid w:val="97E1B4E"/>
    <w:multiLevelType w:val="hybridMultilevel"/>
    <w:lvl w:ilvl="0">
      <w:lvlJc w:val="left"/>
      <w:lvlText w:val="%1."/>
      <w:numFmt w:val="decimal"/>
      <w:start w:val="16"/>
    </w:lvl>
  </w:abstractNum>
  <w:abstractNum w:abstractNumId="58">
    <w:nsid w:val="51088277"/>
    <w:multiLevelType w:val="hybridMultilevel"/>
    <w:lvl w:ilvl="0">
      <w:lvlJc w:val="left"/>
      <w:lvlText w:val="%1."/>
      <w:numFmt w:val="decimal"/>
      <w:start w:val="17"/>
    </w:lvl>
  </w:abstractNum>
  <w:abstractNum w:abstractNumId="59">
    <w:nsid w:val="1CA0C5FA"/>
    <w:multiLevelType w:val="hybridMultilevel"/>
    <w:lvl w:ilvl="0">
      <w:lvlJc w:val="left"/>
      <w:lvlText w:val="%1."/>
      <w:numFmt w:val="decimal"/>
      <w:start w:val="1"/>
    </w:lvl>
  </w:abstractNum>
  <w:abstractNum w:abstractNumId="60">
    <w:nsid w:val="53584BCB"/>
    <w:multiLevelType w:val="hybridMultilevel"/>
    <w:lvl w:ilvl="0">
      <w:lvlJc w:val="left"/>
      <w:lvlText w:val="†"/>
      <w:numFmt w:val="bullet"/>
      <w:start w:val="1"/>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
      <w:numFmt w:val="bullet"/>
      <w:start w:val="1"/>
    </w:lvl>
  </w:abstractNum>
  <w:abstractNum w:abstractNumId="63">
    <w:nsid w:val="23D86AAC"/>
    <w:multiLevelType w:val="hybridMultilevel"/>
    <w:lvl w:ilvl="0">
      <w:lvlJc w:val="left"/>
      <w:lvlText w:val="•"/>
      <w:numFmt w:val="bullet"/>
      <w:start w:val="1"/>
    </w:lvl>
  </w:abstractNum>
  <w:abstractNum w:abstractNumId="64">
    <w:nsid w:val="45E6D486"/>
    <w:multiLevelType w:val="hybridMultilevel"/>
    <w:lvl w:ilvl="0">
      <w:lvlJc w:val="left"/>
      <w:lvlText w:val="%1."/>
      <w:numFmt w:val="decimal"/>
      <w:start w:val="1"/>
    </w:lvl>
  </w:abstractNum>
  <w:abstractNum w:abstractNumId="65">
    <w:nsid w:val="5C10FE21"/>
    <w:multiLevelType w:val="hybridMultilevel"/>
    <w:lvl w:ilvl="0">
      <w:lvlJc w:val="left"/>
      <w:lvlText w:val="%1."/>
      <w:numFmt w:val="decimal"/>
      <w:start w:val="2"/>
    </w:lvl>
  </w:abstractNum>
  <w:abstractNum w:abstractNumId="66">
    <w:nsid w:val="E7FFA2B"/>
    <w:multiLevelType w:val="hybridMultilevel"/>
    <w:lvl w:ilvl="0">
      <w:lvlJc w:val="left"/>
      <w:lvlText w:val="%1."/>
      <w:numFmt w:val="decimal"/>
      <w:start w:val="3"/>
    </w:lvl>
    <w:lvl w:ilvl="1">
      <w:lvlJc w:val="left"/>
      <w:lvlText w:val="(%2)"/>
      <w:numFmt w:val="lowerLetter"/>
      <w:start w:val="1"/>
    </w:lvl>
  </w:abstractNum>
  <w:abstractNum w:abstractNumId="67">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68">
    <w:nsid w:val="4BD8591A"/>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69">
    <w:nsid w:val="78DF6A5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70">
    <w:nsid w:val="39B7AAA2"/>
    <w:multiLevelType w:val="hybridMultilevel"/>
    <w:lvl w:ilvl="0">
      <w:lvlJc w:val="left"/>
      <w:lvlText w:val="%1"/>
      <w:numFmt w:val="decimal"/>
      <w:start w:val="1"/>
    </w:lvl>
    <w:lvl w:ilvl="1">
      <w:lvlJc w:val="left"/>
      <w:lvlText w:val="(%2)"/>
      <w:numFmt w:val="lowerLetter"/>
      <w:start w:val="1"/>
    </w:lvl>
  </w:abstractNum>
  <w:abstractNum w:abstractNumId="71">
    <w:nsid w:val="2B0D8DBE"/>
    <w:multiLevelType w:val="hybridMultilevel"/>
    <w:lvl w:ilvl="0">
      <w:lvlJc w:val="left"/>
      <w:lvlText w:val="%1."/>
      <w:numFmt w:val="decimal"/>
      <w:start w:val="5"/>
    </w:lvl>
    <w:lvl w:ilvl="1">
      <w:lvlJc w:val="left"/>
      <w:lvlText w:val="(%2)"/>
      <w:numFmt w:val="lowerLetter"/>
      <w:start w:val="1"/>
    </w:lvl>
  </w:abstractNum>
  <w:abstractNum w:abstractNumId="72">
    <w:nsid w:val="6C80EC70"/>
    <w:multiLevelType w:val="hybridMultilevel"/>
    <w:lvl w:ilvl="0">
      <w:lvlJc w:val="left"/>
      <w:lvlText w:val="%1."/>
      <w:numFmt w:val="decimal"/>
      <w:start w:val="1"/>
    </w:lvl>
  </w:abstractNum>
  <w:abstractNum w:abstractNumId="73">
    <w:nsid w:val="379E21B5"/>
    <w:multiLevelType w:val="hybridMultilevel"/>
    <w:lvl w:ilvl="0">
      <w:lvlJc w:val="left"/>
      <w:lvlText w:val="%1."/>
      <w:numFmt w:val="decimal"/>
      <w:start w:val="2"/>
    </w:lvl>
  </w:abstractNum>
  <w:abstractNum w:abstractNumId="74">
    <w:nsid w:val="69E373"/>
    <w:multiLevelType w:val="hybridMultilevel"/>
    <w:lvl w:ilvl="0">
      <w:lvlJc w:val="left"/>
      <w:lvlText w:val="%1."/>
      <w:numFmt w:val="decimal"/>
      <w:start w:val="3"/>
    </w:lvl>
    <w:lvl w:ilvl="1">
      <w:lvlJc w:val="left"/>
      <w:lvlText w:val="(%2)"/>
      <w:numFmt w:val="lowerLetter"/>
      <w:start w:val="1"/>
    </w:lvl>
  </w:abstractNum>
  <w:abstractNum w:abstractNumId="75">
    <w:nsid w:val="2C2717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6">
    <w:nsid w:val="4C9B0904"/>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77">
    <w:nsid w:val="6AA7B75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78">
    <w:nsid w:val="1DF029D3"/>
    <w:multiLevelType w:val="hybridMultilevel"/>
    <w:lvl w:ilvl="0">
      <w:lvlJc w:val="left"/>
      <w:lvlText w:val="%1"/>
      <w:numFmt w:val="decimal"/>
      <w:start w:val="1"/>
    </w:lvl>
    <w:lvl w:ilvl="1">
      <w:lvlJc w:val="left"/>
      <w:lvlText w:val="(%2)"/>
      <w:numFmt w:val="lowerLetter"/>
      <w:start w:val="2"/>
    </w:lvl>
  </w:abstractNum>
  <w:abstractNum w:abstractNumId="79">
    <w:nsid w:val="5675FF36"/>
    <w:multiLevelType w:val="hybridMultilevel"/>
    <w:lvl w:ilvl="0">
      <w:lvlJc w:val="left"/>
      <w:lvlText w:val="%1."/>
      <w:numFmt w:val="decimal"/>
      <w:start w:val="5"/>
    </w:lvl>
    <w:lvl w:ilvl="1">
      <w:lvlJc w:val="left"/>
      <w:lvlText w:val="(%2)"/>
      <w:numFmt w:val="lowerLetter"/>
      <w:start w:val="1"/>
    </w:lvl>
  </w:abstractNum>
  <w:abstractNum w:abstractNumId="80">
    <w:nsid w:val="3DD150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81">
    <w:nsid w:val="3DB012B3"/>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3"/>
    </w:lvl>
  </w:abstractNum>
  <w:abstractNum w:abstractNumId="82">
    <w:nsid w:val="2708C9AF"/>
    <w:multiLevelType w:val="hybridMultilevel"/>
    <w:lvl w:ilvl="0">
      <w:lvlJc w:val="left"/>
      <w:lvlText w:val="(%1)"/>
      <w:numFmt w:val="lowerLetter"/>
      <w:start w:val="4"/>
    </w:lvl>
  </w:abstractNum>
  <w:abstractNum w:abstractNumId="83">
    <w:nsid w:val="5B25ACE2"/>
    <w:multiLevelType w:val="hybridMultilevel"/>
    <w:lvl w:ilvl="0">
      <w:lvlJc w:val="left"/>
      <w:lvlText w:val="(%1)"/>
      <w:numFmt w:val="lowerLetter"/>
      <w:start w:val="1"/>
    </w:lvl>
  </w:abstractNum>
  <w:abstractNum w:abstractNumId="84">
    <w:nsid w:val="175DFCF0"/>
    <w:multiLevelType w:val="hybridMultilevel"/>
    <w:lvl w:ilvl="0">
      <w:lvlJc w:val="left"/>
      <w:lvlText w:val="(%1)"/>
      <w:numFmt w:val="lowerRoman"/>
      <w:start w:val="3"/>
    </w:lvl>
  </w:abstractNum>
  <w:abstractNum w:abstractNumId="85">
    <w:nsid w:val="4F97E3E4"/>
    <w:multiLevelType w:val="hybridMultilevel"/>
    <w:lvl w:ilvl="0">
      <w:lvlJc w:val="left"/>
      <w:lvlText w:val="(%1)"/>
      <w:numFmt w:val="lowerLetter"/>
      <w:start w:val="4"/>
    </w:lvl>
  </w:abstractNum>
  <w:abstractNum w:abstractNumId="86">
    <w:nsid w:val="53B0A9E"/>
    <w:multiLevelType w:val="hybridMultilevel"/>
    <w:lvl w:ilvl="0">
      <w:lvlJc w:val="left"/>
      <w:lvlText w:val="(%1)"/>
      <w:numFmt w:val="lowerRoman"/>
      <w:start w:val="4"/>
    </w:lvl>
  </w:abstractNum>
  <w:abstractNum w:abstractNumId="87">
    <w:nsid w:val="34FD6B4F"/>
    <w:multiLevelType w:val="hybridMultilevel"/>
    <w:lvl w:ilvl="0">
      <w:lvlJc w:val="left"/>
      <w:lvlText w:val="(%1)"/>
      <w:numFmt w:val="lowerRoman"/>
      <w:start w:val="5"/>
    </w:lvl>
  </w:abstractNum>
  <w:abstractNum w:abstractNumId="88">
    <w:nsid w:val="5915FF32"/>
    <w:multiLevelType w:val="hybridMultilevel"/>
    <w:lvl w:ilvl="0">
      <w:lvlJc w:val="left"/>
      <w:lvlText w:val="(%1)"/>
      <w:numFmt w:val="lowerLetter"/>
      <w:start w:val="5"/>
    </w:lvl>
  </w:abstractNum>
  <w:abstractNum w:abstractNumId="89">
    <w:nsid w:val="56438D15"/>
    <w:multiLevelType w:val="hybridMultilevel"/>
    <w:lvl w:ilvl="0">
      <w:lvlJc w:val="left"/>
      <w:lvlText w:val="%1"/>
      <w:numFmt w:val="decimal"/>
      <w:start w:val="1"/>
    </w:lvl>
    <w:lvl w:ilvl="1">
      <w:lvlJc w:val="left"/>
      <w:lvlText w:val="(%2)"/>
      <w:numFmt w:val="lowerLetter"/>
      <w:start w:val="6"/>
    </w:lvl>
  </w:abstractNum>
  <w:abstractNum w:abstractNumId="90">
    <w:nsid w:val="519E3149"/>
    <w:multiLevelType w:val="hybridMultilevel"/>
    <w:lvl w:ilvl="0">
      <w:lvlJc w:val="left"/>
      <w:lvlText w:val="%1."/>
      <w:numFmt w:val="decimal"/>
      <w:start w:val="8"/>
    </w:lvl>
    <w:lvl w:ilvl="1">
      <w:lvlJc w:val="left"/>
      <w:lvlText w:val="(%2)"/>
      <w:numFmt w:val="lowerLetter"/>
      <w:start w:val="4"/>
    </w:lvl>
  </w:abstractNum>
  <w:abstractNum w:abstractNumId="91">
    <w:nsid w:val="2C6E4AFD"/>
    <w:multiLevelType w:val="hybridMultilevel"/>
    <w:lvl w:ilvl="0">
      <w:lvlJc w:val="left"/>
      <w:lvlText w:val="(%1)"/>
      <w:numFmt w:val="lowerRoman"/>
      <w:start w:val="1"/>
    </w:lvl>
  </w:abstractNum>
  <w:abstractNum w:abstractNumId="92">
    <w:nsid w:val="17A1B582"/>
    <w:multiLevelType w:val="hybridMultilevel"/>
    <w:lvl w:ilvl="0">
      <w:lvlJc w:val="left"/>
      <w:lvlText w:val="%1"/>
      <w:numFmt w:val="lowerLetter"/>
      <w:start w:val="1"/>
    </w:lvl>
    <w:lvl w:ilvl="1">
      <w:lvlJc w:val="left"/>
      <w:lvlText w:val="(%2)"/>
      <w:numFmt w:val="lowerRoman"/>
      <w:start w:val="4"/>
    </w:lvl>
  </w:abstractNum>
  <w:abstractNum w:abstractNumId="93">
    <w:nsid w:val="4DF72E4E"/>
    <w:multiLevelType w:val="hybridMultilevel"/>
    <w:lvl w:ilvl="0">
      <w:lvlJc w:val="left"/>
      <w:lvlText w:val="(%1)"/>
      <w:numFmt w:val="lowerLetter"/>
      <w:start w:val="5"/>
    </w:lvl>
    <w:lvl w:ilvl="1">
      <w:lvlJc w:val="left"/>
      <w:lvlText w:val="%2"/>
      <w:numFmt w:val="lowerRoman"/>
      <w:start w:val="1"/>
    </w:lvl>
  </w:abstractNum>
  <w:abstractNum w:abstractNumId="94">
    <w:nsid w:val="5046B5A9"/>
    <w:multiLevelType w:val="hybridMultilevel"/>
    <w:lvl w:ilvl="0">
      <w:lvlJc w:val="left"/>
      <w:lvlText w:val="(%1)"/>
      <w:numFmt w:val="lowerRoman"/>
      <w:start w:val="1"/>
    </w:lvl>
  </w:abstractNum>
  <w:abstractNum w:abstractNumId="95">
    <w:nsid w:val="5D888A08"/>
    <w:multiLevelType w:val="hybridMultilevel"/>
    <w:lvl w:ilvl="0">
      <w:lvlJc w:val="left"/>
      <w:lvlText w:val="%1"/>
      <w:numFmt w:val="lowerLetter"/>
      <w:start w:val="1"/>
    </w:lvl>
    <w:lvl w:ilvl="1">
      <w:lvlJc w:val="left"/>
      <w:lvlText w:val="(%2)"/>
      <w:numFmt w:val="lowerLetter"/>
      <w:start w:val="61"/>
    </w:lvl>
  </w:abstractNum>
  <w:abstractNum w:abstractNumId="96">
    <w:nsid w:val="2A082C70"/>
    <w:multiLevelType w:val="hybridMultilevel"/>
    <w:lvl w:ilvl="0">
      <w:lvlJc w:val="left"/>
      <w:lvlText w:val="(%1)"/>
      <w:numFmt w:val="lowerLetter"/>
      <w:start w:val="3"/>
    </w:lvl>
    <w:lvl w:ilvl="1">
      <w:lvlJc w:val="left"/>
      <w:lvlText w:val="%2"/>
      <w:numFmt w:val="lowerLetter"/>
      <w:start w:val="1"/>
    </w:lvl>
  </w:abstractNum>
  <w:abstractNum w:abstractNumId="97">
    <w:nsid w:val="5EC6AFD4"/>
    <w:multiLevelType w:val="hybridMultilevel"/>
    <w:lvl w:ilvl="0">
      <w:lvlJc w:val="left"/>
      <w:lvlText w:val="(%1)"/>
      <w:numFmt w:val="lowerRoman"/>
      <w:start w:val="1"/>
    </w:lvl>
  </w:abstractNum>
  <w:abstractNum w:abstractNumId="98">
    <w:nsid w:val="19E21BB2"/>
    <w:multiLevelType w:val="hybridMultilevel"/>
    <w:lvl w:ilvl="0">
      <w:lvlJc w:val="left"/>
      <w:lvlText w:val="(%1)"/>
      <w:numFmt w:val="lowerLetter"/>
      <w:start w:val="4"/>
    </w:lvl>
  </w:abstractNum>
  <w:abstractNum w:abstractNumId="99">
    <w:nsid w:val="75E0858A"/>
    <w:multiLevelType w:val="hybridMultilevel"/>
    <w:lvl w:ilvl="0">
      <w:lvlJc w:val="left"/>
      <w:lvlText w:val="(%1)"/>
      <w:numFmt w:val="lowerLetter"/>
      <w:start w:val="6"/>
    </w:lvl>
  </w:abstractNum>
  <w:abstractNum w:abstractNumId="100">
    <w:nsid w:val="57A61A29"/>
    <w:multiLevelType w:val="hybridMultilevel"/>
    <w:lvl w:ilvl="0">
      <w:lvlJc w:val="left"/>
      <w:lvlText w:val="(%1)"/>
      <w:numFmt w:val="lowerLetter"/>
      <w:start w:val="8"/>
    </w:lvl>
  </w:abstractNum>
  <w:abstractNum w:abstractNumId="101">
    <w:nsid w:val="5399C654"/>
    <w:multiLevelType w:val="hybridMultilevel"/>
    <w:lvl w:ilvl="0">
      <w:lvlJc w:val="left"/>
      <w:lvlText w:val="%1."/>
      <w:numFmt w:val="decimal"/>
      <w:start w:val="10"/>
    </w:lvl>
  </w:abstractNum>
  <w:abstractNum w:abstractNumId="102">
    <w:nsid w:val="20EE1348"/>
    <w:multiLevelType w:val="hybridMultilevel"/>
    <w:lvl w:ilvl="0">
      <w:lvlJc w:val="left"/>
      <w:lvlText w:val="(%1)"/>
      <w:numFmt w:val="lowerLetter"/>
      <w:start w:val="8"/>
    </w:lvl>
  </w:abstractNum>
  <w:abstractNum w:abstractNumId="103">
    <w:nsid w:val="4427069A"/>
    <w:multiLevelType w:val="hybridMultilevel"/>
    <w:lvl w:ilvl="0">
      <w:lvlJc w:val="left"/>
      <w:lvlText w:val="(%1)"/>
      <w:numFmt w:val="lowerRoman"/>
      <w:start w:val="2"/>
    </w:lvl>
  </w:abstractNum>
  <w:abstractNum w:abstractNumId="104">
    <w:nsid w:val="B37E80A"/>
    <w:multiLevelType w:val="hybridMultilevel"/>
    <w:lvl w:ilvl="0">
      <w:lvlJc w:val="left"/>
      <w:lvlText w:val="%1"/>
      <w:numFmt w:val="lowerLetter"/>
      <w:start w:val="1"/>
    </w:lvl>
    <w:lvl w:ilvl="1">
      <w:lvlJc w:val="left"/>
      <w:lvlText w:val="(%2)"/>
      <w:numFmt w:val="lowerLetter"/>
      <w:start w:val="61"/>
    </w:lvl>
  </w:abstractNum>
  <w:abstractNum w:abstractNumId="105">
    <w:nsid w:val="2157F6BC"/>
    <w:multiLevelType w:val="hybridMultilevel"/>
    <w:lvl w:ilvl="0">
      <w:lvlJc w:val="left"/>
      <w:lvlText w:val="(%1)"/>
      <w:numFmt w:val="lowerLetter"/>
      <w:start w:val="2"/>
    </w:lvl>
    <w:lvl w:ilvl="1">
      <w:lvlJc w:val="left"/>
      <w:lvlText w:val="%2"/>
      <w:numFmt w:val="lowerLetter"/>
      <w:start w:val="1"/>
    </w:lvl>
  </w:abstractNum>
  <w:abstractNum w:abstractNumId="106">
    <w:nsid w:val="704E1DD5"/>
    <w:multiLevelType w:val="hybridMultilevel"/>
    <w:lvl w:ilvl="0">
      <w:lvlJc w:val="left"/>
      <w:lvlText w:val="(%1)"/>
      <w:numFmt w:val="lowerLetter"/>
      <w:start w:val="3"/>
    </w:lvl>
  </w:abstractNum>
  <w:abstractNum w:abstractNumId="107">
    <w:nsid w:val="57D2F10E"/>
    <w:multiLevelType w:val="hybridMultilevel"/>
    <w:lvl w:ilvl="0">
      <w:lvlJc w:val="left"/>
      <w:lvlText w:val="(%1)"/>
      <w:numFmt w:val="lowerLetter"/>
      <w:start w:val="5"/>
    </w:lvl>
  </w:abstractNum>
  <w:abstractNum w:abstractNumId="108">
    <w:nsid w:val="BFFAE18"/>
    <w:multiLevelType w:val="hybridMultilevel"/>
    <w:lvl w:ilvl="0">
      <w:lvlJc w:val="left"/>
      <w:lvlText w:val="%1"/>
      <w:numFmt w:val="lowerLetter"/>
      <w:start w:val="1"/>
    </w:lvl>
    <w:lvl w:ilvl="1">
      <w:lvlJc w:val="left"/>
      <w:lvlText w:val="(%2)"/>
      <w:numFmt w:val="lowerRoman"/>
      <w:start w:val="3"/>
    </w:lvl>
  </w:abstractNum>
  <w:abstractNum w:abstractNumId="109">
    <w:nsid w:val="E3E47A8"/>
    <w:multiLevelType w:val="hybridMultilevel"/>
    <w:lvl w:ilvl="0">
      <w:lvlJc w:val="left"/>
      <w:lvlText w:val="(%1)"/>
      <w:numFmt w:val="lowerLetter"/>
      <w:start w:val="6"/>
    </w:lvl>
    <w:lvl w:ilvl="1">
      <w:lvlJc w:val="left"/>
      <w:lvlText w:val="%2"/>
      <w:numFmt w:val="lowerRoman"/>
      <w:start w:val="1"/>
    </w:lvl>
  </w:abstractNum>
  <w:abstractNum w:abstractNumId="110">
    <w:nsid w:val="2E48F044"/>
    <w:multiLevelType w:val="hybridMultilevel"/>
    <w:lvl w:ilvl="0">
      <w:lvlJc w:val="left"/>
      <w:lvlText w:val="(%1)"/>
      <w:numFmt w:val="lowerLetter"/>
      <w:start w:val="7"/>
    </w:lvl>
  </w:abstractNum>
  <w:abstractNum w:abstractNumId="111">
    <w:nsid w:val="49D0FEAC"/>
    <w:multiLevelType w:val="hybridMultilevel"/>
    <w:lvl w:ilvl="0">
      <w:lvlJc w:val="left"/>
      <w:lvlText w:val="(%1)"/>
      <w:numFmt w:val="lowerLetter"/>
      <w:start w:val="8"/>
    </w:lvl>
  </w:abstractNum>
  <w:abstractNum w:abstractNumId="112">
    <w:nsid w:val="4BEE5A5B"/>
    <w:multiLevelType w:val="hybridMultilevel"/>
    <w:lvl w:ilvl="0">
      <w:lvlJc w:val="left"/>
      <w:lvlText w:val="(%1)"/>
      <w:numFmt w:val="lowerLetter"/>
      <w:start w:val="8"/>
    </w:lvl>
  </w:abstractNum>
  <w:abstractNum w:abstractNumId="113">
    <w:nsid w:val="5551B9F3"/>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2"/>
    </w:lvl>
  </w:abstractNum>
  <w:abstractNum w:abstractNumId="114">
    <w:nsid w:val="24F6AB8E"/>
    <w:multiLevelType w:val="hybridMultilevel"/>
    <w:lvl w:ilvl="0">
      <w:lvlJc w:val="left"/>
      <w:lvlText w:val="(%1)"/>
      <w:numFmt w:val="lowerLetter"/>
      <w:start w:val="2"/>
    </w:lvl>
  </w:abstractNum>
  <w:abstractNum w:abstractNumId="115">
    <w:nsid w:val="634C574C"/>
    <w:multiLevelType w:val="hybridMultilevel"/>
    <w:lvl w:ilvl="0">
      <w:lvlJc w:val="left"/>
      <w:lvlText w:val="(%1)"/>
      <w:numFmt w:val="decimal"/>
      <w:start w:val="1"/>
    </w:lvl>
  </w:abstractNum>
  <w:abstractNum w:abstractNumId="116">
    <w:nsid w:val="24E99DD7"/>
    <w:multiLevelType w:val="hybridMultilevel"/>
    <w:lvl w:ilvl="0">
      <w:lvlJc w:val="left"/>
      <w:lvlText w:val="%1."/>
      <w:numFmt w:val="decimal"/>
      <w:start w:val="1"/>
    </w:lvl>
  </w:abstractNum>
  <w:abstractNum w:abstractNumId="117">
    <w:nsid w:val="2A31B62D"/>
    <w:multiLevelType w:val="hybridMultilevel"/>
    <w:lvl w:ilvl="0">
      <w:lvlJc w:val="left"/>
      <w:lvlText w:val="%1."/>
      <w:numFmt w:val="decimal"/>
      <w:start w:val="1"/>
    </w:lvl>
  </w:abstractNum>
  <w:abstractNum w:abstractNumId="118">
    <w:nsid w:val="1849C29B"/>
    <w:multiLevelType w:val="hybridMultilevel"/>
    <w:lvl w:ilvl="0">
      <w:lvlJc w:val="left"/>
      <w:lvlText w:val="%1."/>
      <w:numFmt w:val="decimal"/>
      <w:start w:val="1"/>
    </w:lvl>
  </w:abstractNum>
  <w:abstractNum w:abstractNumId="119">
    <w:nsid w:val="7DFF9D09"/>
    <w:multiLevelType w:val="hybridMultilevel"/>
    <w:lvl w:ilvl="0">
      <w:lvlJc w:val="left"/>
      <w:lvlText w:val="%1."/>
      <w:numFmt w:val="lowerLetter"/>
      <w:start w:val="1"/>
    </w:lvl>
  </w:abstractNum>
  <w:abstractNum w:abstractNumId="120">
    <w:nsid w:val="754342"/>
    <w:multiLevelType w:val="hybridMultilevel"/>
    <w:lvl w:ilvl="0">
      <w:lvlJc w:val="left"/>
      <w:lvlText w:val="%1."/>
      <w:numFmt w:val="decimal"/>
      <w:start w:val="3"/>
    </w:lvl>
  </w:abstractNum>
  <w:abstractNum w:abstractNumId="121">
    <w:nsid w:val="69E7F3E5"/>
    <w:multiLevelType w:val="hybridMultilevel"/>
    <w:lvl w:ilvl="0">
      <w:lvlJc w:val="left"/>
      <w:lvlText w:val="%1."/>
      <w:numFmt w:val="decimal"/>
      <w:start w:val="4"/>
    </w:lvl>
  </w:abstractNum>
  <w:abstractNum w:abstractNumId="122">
    <w:nsid w:val="2A6DE806"/>
    <w:multiLevelType w:val="hybridMultilevel"/>
    <w:lvl w:ilvl="0">
      <w:lvlJc w:val="left"/>
      <w:lvlText w:val="%1."/>
      <w:numFmt w:val="decimal"/>
      <w:start w:val="5"/>
    </w:lvl>
    <w:lvl w:ilvl="1">
      <w:lvlJc w:val="left"/>
      <w:lvlText w:val="%2."/>
      <w:numFmt w:val="lowerLetter"/>
      <w:start w:val="1"/>
    </w:lvl>
  </w:abstractNum>
  <w:abstractNum w:abstractNumId="123">
    <w:nsid w:val="1816F8C4"/>
    <w:multiLevelType w:val="hybridMultilevel"/>
    <w:lvl w:ilvl="0">
      <w:lvlJc w:val="left"/>
      <w:lvlText w:val="%1."/>
      <w:numFmt w:val="decimal"/>
      <w:start w:val="8"/>
    </w:lvl>
  </w:abstractNum>
  <w:abstractNum w:abstractNumId="124">
    <w:nsid w:val="37DF2233"/>
    <w:multiLevelType w:val="hybridMultilevel"/>
    <w:lvl w:ilvl="0">
      <w:lvlJc w:val="left"/>
      <w:lvlText w:val="%1."/>
      <w:numFmt w:val="decimal"/>
      <w:start w:val="14"/>
    </w:lvl>
  </w:abstractNum>
  <w:abstractNum w:abstractNumId="125">
    <w:nsid w:val="7AB49DAF"/>
    <w:multiLevelType w:val="hybridMultilevel"/>
    <w:lvl w:ilvl="0">
      <w:lvlJc w:val="left"/>
      <w:lvlText w:val="%1."/>
      <w:numFmt w:val="decimal"/>
      <w:start w:val="1"/>
    </w:lvl>
  </w:abstractNum>
  <w:abstractNum w:abstractNumId="126">
    <w:nsid w:val="759F82CD"/>
    <w:multiLevelType w:val="hybridMultilevel"/>
    <w:lvl w:ilvl="0">
      <w:lvlJc w:val="left"/>
      <w:lvlText w:val="%1."/>
      <w:numFmt w:val="lowerLetter"/>
      <w:start w:val="1"/>
    </w:lvl>
  </w:abstractNum>
  <w:abstractNum w:abstractNumId="127">
    <w:nsid w:val="61E74EA3"/>
    <w:multiLevelType w:val="hybridMultilevel"/>
    <w:lvl w:ilvl="0">
      <w:lvlJc w:val="left"/>
      <w:lvlText w:val="%1."/>
      <w:numFmt w:val="lowerRoman"/>
      <w:start w:val="1"/>
    </w:lvl>
  </w:abstractNum>
  <w:abstractNum w:abstractNumId="128">
    <w:nsid w:val="597B4D84"/>
    <w:multiLevelType w:val="hybridMultilevel"/>
    <w:lvl w:ilvl="0">
      <w:lvlJc w:val="left"/>
      <w:lvlText w:val="(%1)"/>
      <w:numFmt w:val="lowerRoman"/>
      <w:start w:val="1"/>
    </w:lvl>
  </w:abstractNum>
  <w:abstractNum w:abstractNumId="129">
    <w:nsid w:val="F819E7F"/>
    <w:multiLevelType w:val="hybridMultilevel"/>
    <w:lvl w:ilvl="0">
      <w:lvlJc w:val="left"/>
      <w:lvlText w:val="(%1)"/>
      <w:numFmt w:val="lowerLetter"/>
      <w:start w:val="2"/>
    </w:lvl>
  </w:abstractNum>
  <w:abstractNum w:abstractNumId="130">
    <w:nsid w:val="57C7D42D"/>
    <w:multiLevelType w:val="hybridMultilevel"/>
    <w:lvl w:ilvl="0">
      <w:lvlJc w:val="left"/>
      <w:lvlText w:val="(%1)"/>
      <w:numFmt w:val="lowerLetter"/>
      <w:start w:val="3"/>
    </w:lvl>
  </w:abstractNum>
  <w:abstractNum w:abstractNumId="131">
    <w:nsid w:val="312167AD"/>
    <w:multiLevelType w:val="hybridMultilevel"/>
    <w:lvl w:ilvl="0">
      <w:lvlJc w:val="left"/>
      <w:lvlText w:val="(%1)"/>
      <w:numFmt w:val="lowerLetter"/>
      <w:start w:val="1"/>
    </w:lvl>
  </w:abstractNum>
  <w:abstractNum w:abstractNumId="132">
    <w:nsid w:val="631B64D4"/>
    <w:multiLevelType w:val="hybridMultilevel"/>
    <w:lvl w:ilvl="0">
      <w:lvlJc w:val="left"/>
      <w:lvlText w:val="(%1)"/>
      <w:numFmt w:val="lowerLetter"/>
      <w:start w:val="1"/>
    </w:lvl>
  </w:abstractNum>
  <w:abstractNum w:abstractNumId="133">
    <w:nsid w:val="78B5E776"/>
    <w:multiLevelType w:val="hybridMultilevel"/>
    <w:lvl w:ilvl="0">
      <w:lvlJc w:val="left"/>
      <w:lvlText w:val="%1"/>
      <w:numFmt w:val="lowerLetter"/>
      <w:start w:val="1"/>
    </w:lvl>
    <w:lvl w:ilvl="1">
      <w:lvlJc w:val="left"/>
      <w:lvlText w:val="(%2)"/>
      <w:numFmt w:val="lowerLetter"/>
      <w:start w:val="1"/>
    </w:lvl>
  </w:abstractNum>
  <w:abstractNum w:abstractNumId="134">
    <w:nsid w:val="75486E47"/>
    <w:multiLevelType w:val="hybridMultilevel"/>
    <w:lvl w:ilvl="0">
      <w:lvlJc w:val="left"/>
      <w:lvlText w:val="(%1)"/>
      <w:numFmt w:val="lowerLetter"/>
      <w:start w:val="61"/>
    </w:lvl>
    <w:lvl w:ilvl="1">
      <w:lvlJc w:val="left"/>
      <w:lvlText w:val="(%2)"/>
      <w:numFmt w:val="lowerLetter"/>
      <w:start w:val="3"/>
    </w:lvl>
  </w:abstractNum>
  <w:abstractNum w:abstractNumId="135">
    <w:nsid w:val="6E534CDE"/>
    <w:multiLevelType w:val="hybridMultilevel"/>
    <w:lvl w:ilvl="0">
      <w:lvlJc w:val="left"/>
      <w:lvlText w:val="(%1)"/>
      <w:numFmt w:val="lowerLetter"/>
      <w:start w:val="1"/>
    </w:lvl>
  </w:abstractNum>
  <w:abstractNum w:abstractNumId="136">
    <w:nsid w:val="1A0DDE32"/>
    <w:multiLevelType w:val="hybridMultilevel"/>
    <w:lvl w:ilvl="0">
      <w:lvlJc w:val="left"/>
      <w:lvlText w:val="[**]"/>
      <w:numFmt w:val="bullet"/>
      <w:start w:val="1"/>
    </w:lvl>
    <w:lvl w:ilvl="1">
      <w:lvlJc w:val="left"/>
      <w:lvlText w:val="(%2)"/>
      <w:numFmt w:val="lowerLetter"/>
      <w:start w:val="2"/>
    </w:lvl>
  </w:abstractNum>
  <w:abstractNum w:abstractNumId="137">
    <w:nsid w:val="65968C1C"/>
    <w:multiLevelType w:val="hybridMultilevel"/>
    <w:lvl w:ilvl="0">
      <w:lvlJc w:val="left"/>
      <w:lvlText w:val="(%1)"/>
      <w:numFmt w:val="lowerLetter"/>
      <w:start w:val="1"/>
    </w:lvl>
  </w:abstractNum>
  <w:abstractNum w:abstractNumId="138">
    <w:nsid w:val="46263DEC"/>
    <w:multiLevelType w:val="hybridMultilevel"/>
    <w:lvl w:ilvl="0">
      <w:lvlJc w:val="left"/>
      <w:lvlText w:val="[**]"/>
      <w:numFmt w:val="bullet"/>
      <w:start w:val="1"/>
    </w:lvl>
  </w:abstractNum>
  <w:abstractNum w:abstractNumId="139">
    <w:nsid w:val="260D8C4A"/>
    <w:multiLevelType w:val="hybridMultilevel"/>
    <w:lvl w:ilvl="0">
      <w:lvlJc w:val="left"/>
      <w:lvlText w:val="[**]"/>
      <w:numFmt w:val="bullet"/>
      <w:start w:val="1"/>
    </w:lvl>
  </w:abstractNum>
  <w:abstractNum w:abstractNumId="140">
    <w:nsid w:val="73D4D3C4"/>
    <w:multiLevelType w:val="hybridMultilevel"/>
    <w:lvl w:ilvl="0">
      <w:lvlJc w:val="left"/>
      <w:lvlText w:val="(%1)"/>
      <w:numFmt w:val="lowerLetter"/>
      <w:start w:val="1"/>
    </w:lvl>
  </w:abstractNum>
  <w:abstractNum w:abstractNumId="141">
    <w:nsid w:val="746F2E30"/>
    <w:multiLevelType w:val="hybridMultilevel"/>
    <w:lvl w:ilvl="0">
      <w:lvlJc w:val="left"/>
      <w:lvlText w:val="(%1)"/>
      <w:numFmt w:val="lowerLetter"/>
      <w:start w:val="2"/>
    </w:lvl>
  </w:abstractNum>
  <w:abstractNum w:abstractNumId="142">
    <w:nsid w:val="6FDE8AF6"/>
    <w:multiLevelType w:val="hybridMultilevel"/>
    <w:lvl w:ilvl="0">
      <w:lvlJc w:val="left"/>
      <w:lvlText w:val="(%1)"/>
      <w:numFmt w:val="lowerLetter"/>
      <w:start w:val="3"/>
    </w:lvl>
  </w:abstractNum>
  <w:abstractNum w:abstractNumId="143">
    <w:nsid w:val="3FC32E20"/>
    <w:multiLevelType w:val="hybridMultilevel"/>
    <w:lvl w:ilvl="0">
      <w:lvlJc w:val="left"/>
      <w:lvlText w:val="(%1)"/>
      <w:numFmt w:val="lowerLetter"/>
      <w:start w:val="9"/>
    </w:lvl>
  </w:abstractNum>
  <w:abstractNum w:abstractNumId="144">
    <w:nsid w:val="49C0E823"/>
    <w:multiLevelType w:val="hybridMultilevel"/>
    <w:lvl w:ilvl="0">
      <w:lvlJc w:val="left"/>
      <w:lvlText w:val="(%1)"/>
      <w:numFmt w:val="lowerLetter"/>
      <w:start w:val="1"/>
    </w:lvl>
  </w:abstractNum>
  <w:abstractNum w:abstractNumId="145">
    <w:nsid w:val="14D53685"/>
    <w:multiLevelType w:val="hybridMultilevel"/>
    <w:lvl w:ilvl="0">
      <w:lvlJc w:val="left"/>
      <w:lvlText w:val="(%1)"/>
      <w:numFmt w:val="lowerLetter"/>
      <w:start w:val="1"/>
    </w:lvl>
  </w:abstractNum>
  <w:abstractNum w:abstractNumId="146">
    <w:nsid w:val="230F856C"/>
    <w:multiLevelType w:val="hybridMultilevel"/>
    <w:lvl w:ilvl="0">
      <w:lvlJc w:val="left"/>
      <w:lvlText w:val="(%1)"/>
      <w:numFmt w:val="lowerLetter"/>
      <w:start w:val="1"/>
    </w:lvl>
  </w:abstractNum>
  <w:abstractNum w:abstractNumId="147">
    <w:nsid w:val="6EAA85FB"/>
    <w:multiLevelType w:val="hybridMultilevel"/>
    <w:lvl w:ilvl="0">
      <w:lvlJc w:val="left"/>
      <w:lvlText w:val="[**]"/>
      <w:numFmt w:val="bullet"/>
      <w:start w:val="1"/>
    </w:lvl>
  </w:abstractNum>
  <w:abstractNum w:abstractNumId="148">
    <w:nsid w:val="3F06ECB2"/>
    <w:multiLevelType w:val="hybridMultilevel"/>
    <w:lvl w:ilvl="0">
      <w:lvlJc w:val="left"/>
      <w:lvlText w:val="%1."/>
      <w:numFmt w:val="decimal"/>
      <w:start w:val="1"/>
    </w:lvl>
  </w:abstractNum>
  <w:abstractNum w:abstractNumId="149">
    <w:nsid w:val="3B594807"/>
    <w:multiLevelType w:val="hybridMultilevel"/>
    <w:lvl w:ilvl="0">
      <w:lvlJc w:val="left"/>
      <w:lvlText w:val="%1."/>
      <w:numFmt w:val="decimal"/>
      <w:start w:val="3"/>
    </w:lvl>
  </w:abstractNum>
  <w:abstractNum w:abstractNumId="150">
    <w:nsid w:val="6CAA2304"/>
    <w:multiLevelType w:val="hybridMultilevel"/>
    <w:lvl w:ilvl="0">
      <w:lvlJc w:val="left"/>
      <w:lvlText w:val="[**]"/>
      <w:numFmt w:val="bullet"/>
      <w:start w:val="1"/>
    </w:lvl>
  </w:abstractNum>
  <w:abstractNum w:abstractNumId="151">
    <w:nsid w:val="3F7C2FF4"/>
    <w:multiLevelType w:val="hybridMultilevel"/>
    <w:lvl w:ilvl="0">
      <w:lvlJc w:val="left"/>
      <w:lvlText w:val="%1."/>
      <w:numFmt w:val="decimal"/>
      <w:start w:val="1"/>
    </w:lvl>
  </w:abstractNum>
  <w:abstractNum w:abstractNumId="152">
    <w:nsid w:val="25413BEC"/>
    <w:multiLevelType w:val="hybridMultilevel"/>
    <w:lvl w:ilvl="0">
      <w:lvlJc w:val="left"/>
      <w:lvlText w:val="%1."/>
      <w:numFmt w:val="decimal"/>
      <w:start w:val="5"/>
    </w:lvl>
  </w:abstractNum>
  <w:abstractNum w:abstractNumId="153">
    <w:nsid w:val="17180B0B"/>
    <w:multiLevelType w:val="hybridMultilevel"/>
    <w:lvl w:ilvl="0">
      <w:lvlJc w:val="left"/>
      <w:lvlText w:val="%1"/>
      <w:numFmt w:val="decimal"/>
      <w:start w:val="1"/>
    </w:lvl>
    <w:lvl w:ilvl="1">
      <w:lvlJc w:val="left"/>
      <w:lvlText w:val="(%2)"/>
      <w:numFmt w:val="lowerLetter"/>
      <w:start w:val="1"/>
    </w:lvl>
  </w:abstractNum>
  <w:abstractNum w:abstractNumId="154">
    <w:nsid w:val="579328B9"/>
    <w:multiLevelType w:val="hybridMultilevel"/>
    <w:lvl w:ilvl="0">
      <w:lvlJc w:val="left"/>
      <w:lvlText w:val="%1."/>
      <w:numFmt w:val="decimal"/>
      <w:start w:val="6"/>
    </w:lvl>
    <w:lvl w:ilvl="1">
      <w:lvlJc w:val="left"/>
      <w:lvlText w:val="%2"/>
      <w:numFmt w:val="lowerLetter"/>
      <w:start w:val="1"/>
    </w:lvl>
  </w:abstractNum>
  <w:abstractNum w:abstractNumId="155">
    <w:nsid w:val="5D205E20"/>
    <w:multiLevelType w:val="hybridMultilevel"/>
    <w:lvl w:ilvl="0">
      <w:lvlJc w:val="left"/>
      <w:lvlText w:val="%1."/>
      <w:numFmt w:val="decimal"/>
      <w:start w:val="9"/>
    </w:lvl>
  </w:abstractNum>
  <w:abstractNum w:abstractNumId="156">
    <w:nsid w:val="11CCA8BA"/>
    <w:multiLevelType w:val="hybridMultilevel"/>
    <w:lvl w:ilvl="0">
      <w:lvlJc w:val="left"/>
      <w:lvlText w:val="%1."/>
      <w:numFmt w:val="decimal"/>
      <w:start w:val="1"/>
    </w:lvl>
    <w:lvl w:ilvl="1">
      <w:lvlJc w:val="left"/>
      <w:lvlText w:val="%2."/>
      <w:numFmt w:val="lowerLetter"/>
      <w:start w:val="1"/>
    </w:lvl>
  </w:abstractNum>
  <w:abstractNum w:abstractNumId="157">
    <w:nsid w:val="4D32AB86"/>
    <w:multiLevelType w:val="hybridMultilevel"/>
    <w:lvl w:ilvl="0">
      <w:lvlJc w:val="left"/>
      <w:lvlText w:val="%1)"/>
      <w:numFmt w:val="lowerLetter"/>
      <w:start w:val="1"/>
    </w:lvl>
  </w:abstractNum>
  <w:abstractNum w:abstractNumId="158">
    <w:nsid w:val="3F07ACC3"/>
    <w:multiLevelType w:val="hybridMultilevel"/>
    <w:lvl w:ilvl="0">
      <w:lvlJc w:val="left"/>
      <w:lvlText w:val="%1."/>
      <w:numFmt w:val="decimal"/>
      <w:start w:val="1"/>
    </w:lvl>
    <w:lvl w:ilvl="1">
      <w:lvlJc w:val="left"/>
      <w:lvlText w:val="%2."/>
      <w:numFmt w:val="lowerLetter"/>
      <w:start w:val="1"/>
    </w:lvl>
  </w:abstractNum>
  <w:abstractNum w:abstractNumId="159">
    <w:nsid w:val="6B47F63E"/>
    <w:multiLevelType w:val="hybridMultilevel"/>
    <w:lvl w:ilvl="0">
      <w:lvlJc w:val="left"/>
      <w:lvlText w:val="%1)"/>
      <w:numFmt w:val="lowerLetter"/>
      <w:start w:val="1"/>
    </w:lvl>
  </w:abstractNum>
  <w:abstractNum w:abstractNumId="160">
    <w:nsid w:val="5CB44A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7" Type="http://schemas.openxmlformats.org/officeDocument/2006/relationships/image" Target="media/image250.png"/><Relationship Id="rId278"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4" Type="http://schemas.openxmlformats.org/officeDocument/2006/relationships/image" Target="media/image255.png"/><Relationship Id="rId285"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290" Type="http://schemas.openxmlformats.org/officeDocument/2006/relationships/image" Target="media/image260.png"/><Relationship Id="rId292" Type="http://schemas.openxmlformats.org/officeDocument/2006/relationships/image" Target="media/image261.png"/><Relationship Id="rId293" Type="http://schemas.openxmlformats.org/officeDocument/2006/relationships/image" Target="media/image262.png"/><Relationship Id="rId295" Type="http://schemas.openxmlformats.org/officeDocument/2006/relationships/image" Target="media/image263.png"/><Relationship Id="rId297"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3" Type="http://schemas.openxmlformats.org/officeDocument/2006/relationships/image" Target="media/image268.png"/><Relationship Id="rId304" Type="http://schemas.openxmlformats.org/officeDocument/2006/relationships/image" Target="media/image269.png"/><Relationship Id="rId306" Type="http://schemas.openxmlformats.org/officeDocument/2006/relationships/image" Target="media/image270.png"/><Relationship Id="rId307" Type="http://schemas.openxmlformats.org/officeDocument/2006/relationships/image" Target="media/image271.png"/><Relationship Id="rId309" Type="http://schemas.openxmlformats.org/officeDocument/2006/relationships/image" Target="media/image272.png"/><Relationship Id="rId310" Type="http://schemas.openxmlformats.org/officeDocument/2006/relationships/image" Target="media/image273.png"/><Relationship Id="rId311" Type="http://schemas.openxmlformats.org/officeDocument/2006/relationships/image" Target="media/image274.png"/><Relationship Id="rId313" Type="http://schemas.openxmlformats.org/officeDocument/2006/relationships/image" Target="media/image275.png"/><Relationship Id="rId314" Type="http://schemas.openxmlformats.org/officeDocument/2006/relationships/image" Target="media/image276.png"/><Relationship Id="rId316" Type="http://schemas.openxmlformats.org/officeDocument/2006/relationships/image" Target="media/image277.png"/><Relationship Id="rId317" Type="http://schemas.openxmlformats.org/officeDocument/2006/relationships/image" Target="media/image278.png"/><Relationship Id="rId319" Type="http://schemas.openxmlformats.org/officeDocument/2006/relationships/image" Target="media/image279.png"/><Relationship Id="rId320" Type="http://schemas.openxmlformats.org/officeDocument/2006/relationships/image" Target="media/image280.png"/><Relationship Id="rId321" Type="http://schemas.openxmlformats.org/officeDocument/2006/relationships/image" Target="media/image281.png"/><Relationship Id="rId322" Type="http://schemas.openxmlformats.org/officeDocument/2006/relationships/image" Target="media/image282.png"/><Relationship Id="rId323" Type="http://schemas.openxmlformats.org/officeDocument/2006/relationships/image" Target="media/image283.png"/><Relationship Id="rId324" Type="http://schemas.openxmlformats.org/officeDocument/2006/relationships/image" Target="media/image284.png"/><Relationship Id="rId326" Type="http://schemas.openxmlformats.org/officeDocument/2006/relationships/image" Target="media/image285.png"/><Relationship Id="rId327" Type="http://schemas.openxmlformats.org/officeDocument/2006/relationships/image" Target="media/image286.png"/><Relationship Id="rId329" Type="http://schemas.openxmlformats.org/officeDocument/2006/relationships/image" Target="media/image287.png"/><Relationship Id="rId330" Type="http://schemas.openxmlformats.org/officeDocument/2006/relationships/image" Target="media/image288.png"/><Relationship Id="rId332" Type="http://schemas.openxmlformats.org/officeDocument/2006/relationships/image" Target="media/image289.png"/><Relationship Id="rId333" Type="http://schemas.openxmlformats.org/officeDocument/2006/relationships/image" Target="media/image290.png"/><Relationship Id="rId335" Type="http://schemas.openxmlformats.org/officeDocument/2006/relationships/image" Target="media/image291.png"/><Relationship Id="rId336" Type="http://schemas.openxmlformats.org/officeDocument/2006/relationships/image" Target="media/image292.png"/><Relationship Id="rId337" Type="http://schemas.openxmlformats.org/officeDocument/2006/relationships/image" Target="media/image293.png"/><Relationship Id="rId339" Type="http://schemas.openxmlformats.org/officeDocument/2006/relationships/image" Target="media/image294.png"/><Relationship Id="rId340" Type="http://schemas.openxmlformats.org/officeDocument/2006/relationships/image" Target="media/image295.png"/><Relationship Id="rId342" Type="http://schemas.openxmlformats.org/officeDocument/2006/relationships/image" Target="media/image296.png"/><Relationship Id="rId343" Type="http://schemas.openxmlformats.org/officeDocument/2006/relationships/image" Target="media/image297.png"/><Relationship Id="rId345" Type="http://schemas.openxmlformats.org/officeDocument/2006/relationships/image" Target="media/image298.png"/><Relationship Id="rId346" Type="http://schemas.openxmlformats.org/officeDocument/2006/relationships/image" Target="media/image299.png"/><Relationship Id="rId348" Type="http://schemas.openxmlformats.org/officeDocument/2006/relationships/image" Target="media/image300.png"/><Relationship Id="rId349" Type="http://schemas.openxmlformats.org/officeDocument/2006/relationships/image" Target="media/image301.png"/><Relationship Id="rId351" Type="http://schemas.openxmlformats.org/officeDocument/2006/relationships/image" Target="media/image302.png"/><Relationship Id="rId352" Type="http://schemas.openxmlformats.org/officeDocument/2006/relationships/image" Target="media/image303.png"/><Relationship Id="rId354" Type="http://schemas.openxmlformats.org/officeDocument/2006/relationships/image" Target="media/image304.png"/><Relationship Id="rId355" Type="http://schemas.openxmlformats.org/officeDocument/2006/relationships/image" Target="media/image305.png"/><Relationship Id="rId357" Type="http://schemas.openxmlformats.org/officeDocument/2006/relationships/image" Target="media/image306.png"/><Relationship Id="rId358" Type="http://schemas.openxmlformats.org/officeDocument/2006/relationships/image" Target="media/image307.png"/><Relationship Id="rId359" Type="http://schemas.openxmlformats.org/officeDocument/2006/relationships/image" Target="media/image308.png"/><Relationship Id="rId372" Type="http://schemas.openxmlformats.org/officeDocument/2006/relationships/image" Target="media/image309.png"/><Relationship Id="rId374" Type="http://schemas.openxmlformats.org/officeDocument/2006/relationships/image" Target="media/image310.png"/><Relationship Id="rId375" Type="http://schemas.openxmlformats.org/officeDocument/2006/relationships/image" Target="media/image311.png"/><Relationship Id="rId376" Type="http://schemas.openxmlformats.org/officeDocument/2006/relationships/image" Target="media/image312.png"/><Relationship Id="rId377" Type="http://schemas.openxmlformats.org/officeDocument/2006/relationships/image" Target="media/image313.png"/><Relationship Id="rId378" Type="http://schemas.openxmlformats.org/officeDocument/2006/relationships/image" Target="media/image314.png"/><Relationship Id="rId379" Type="http://schemas.openxmlformats.org/officeDocument/2006/relationships/image" Target="media/image315.png"/><Relationship Id="rId380" Type="http://schemas.openxmlformats.org/officeDocument/2006/relationships/image" Target="media/image316.png"/><Relationship Id="rId381" Type="http://schemas.openxmlformats.org/officeDocument/2006/relationships/image" Target="media/image317.png"/><Relationship Id="rId382" Type="http://schemas.openxmlformats.org/officeDocument/2006/relationships/image" Target="media/image318.png"/><Relationship Id="rId383" Type="http://schemas.openxmlformats.org/officeDocument/2006/relationships/image" Target="media/image319.png"/><Relationship Id="rId384" Type="http://schemas.openxmlformats.org/officeDocument/2006/relationships/image" Target="media/image320.png"/><Relationship Id="rId385" Type="http://schemas.openxmlformats.org/officeDocument/2006/relationships/image" Target="media/image321.png"/><Relationship Id="rId386" Type="http://schemas.openxmlformats.org/officeDocument/2006/relationships/image" Target="media/image322.png"/><Relationship Id="rId387" Type="http://schemas.openxmlformats.org/officeDocument/2006/relationships/image" Target="media/image323.png"/><Relationship Id="rId388" Type="http://schemas.openxmlformats.org/officeDocument/2006/relationships/image" Target="media/image324.png"/><Relationship Id="rId389" Type="http://schemas.openxmlformats.org/officeDocument/2006/relationships/image" Target="media/image325.png"/><Relationship Id="rId390" Type="http://schemas.openxmlformats.org/officeDocument/2006/relationships/image" Target="media/image326.png"/><Relationship Id="rId391" Type="http://schemas.openxmlformats.org/officeDocument/2006/relationships/image" Target="media/image327.png"/><Relationship Id="rId392" Type="http://schemas.openxmlformats.org/officeDocument/2006/relationships/image" Target="media/image328.png"/><Relationship Id="rId393" Type="http://schemas.openxmlformats.org/officeDocument/2006/relationships/image" Target="media/image329.png"/><Relationship Id="rId394" Type="http://schemas.openxmlformats.org/officeDocument/2006/relationships/image" Target="media/image330.png"/><Relationship Id="rId395" Type="http://schemas.openxmlformats.org/officeDocument/2006/relationships/image" Target="media/image331.png"/><Relationship Id="rId396" Type="http://schemas.openxmlformats.org/officeDocument/2006/relationships/image" Target="media/image332.png"/><Relationship Id="rId397" Type="http://schemas.openxmlformats.org/officeDocument/2006/relationships/image" Target="media/image333.png"/><Relationship Id="rId398" Type="http://schemas.openxmlformats.org/officeDocument/2006/relationships/image" Target="media/image334.png"/><Relationship Id="rId399" Type="http://schemas.openxmlformats.org/officeDocument/2006/relationships/image" Target="media/image335.png"/><Relationship Id="rId400" Type="http://schemas.openxmlformats.org/officeDocument/2006/relationships/image" Target="media/image336.png"/><Relationship Id="rId401" Type="http://schemas.openxmlformats.org/officeDocument/2006/relationships/image" Target="media/image337.png"/><Relationship Id="rId402" Type="http://schemas.openxmlformats.org/officeDocument/2006/relationships/image" Target="media/image338.png"/><Relationship Id="rId403" Type="http://schemas.openxmlformats.org/officeDocument/2006/relationships/image" Target="media/image339.png"/><Relationship Id="rId404" Type="http://schemas.openxmlformats.org/officeDocument/2006/relationships/image" Target="media/image340.png"/><Relationship Id="rId405" Type="http://schemas.openxmlformats.org/officeDocument/2006/relationships/image" Target="media/image341.png"/><Relationship Id="rId406" Type="http://schemas.openxmlformats.org/officeDocument/2006/relationships/image" Target="media/image342.png"/><Relationship Id="rId407" Type="http://schemas.openxmlformats.org/officeDocument/2006/relationships/image" Target="media/image343.png"/><Relationship Id="rId408" Type="http://schemas.openxmlformats.org/officeDocument/2006/relationships/image" Target="media/image344.png"/><Relationship Id="rId409" Type="http://schemas.openxmlformats.org/officeDocument/2006/relationships/image" Target="media/image345.png"/><Relationship Id="rId410" Type="http://schemas.openxmlformats.org/officeDocument/2006/relationships/image" Target="media/image346.png"/><Relationship Id="rId411" Type="http://schemas.openxmlformats.org/officeDocument/2006/relationships/image" Target="media/image347.png"/><Relationship Id="rId412" Type="http://schemas.openxmlformats.org/officeDocument/2006/relationships/image" Target="media/image348.png"/><Relationship Id="rId413" Type="http://schemas.openxmlformats.org/officeDocument/2006/relationships/image" Target="media/image349.png"/><Relationship Id="rId414" Type="http://schemas.openxmlformats.org/officeDocument/2006/relationships/image" Target="media/image350.png"/><Relationship Id="rId415" Type="http://schemas.openxmlformats.org/officeDocument/2006/relationships/image" Target="media/image351.png"/><Relationship Id="rId416" Type="http://schemas.openxmlformats.org/officeDocument/2006/relationships/image" Target="media/image352.png"/><Relationship Id="rId417" Type="http://schemas.openxmlformats.org/officeDocument/2006/relationships/image" Target="media/image353.png"/><Relationship Id="rId418" Type="http://schemas.openxmlformats.org/officeDocument/2006/relationships/image" Target="media/image354.png"/><Relationship Id="rId419" Type="http://schemas.openxmlformats.org/officeDocument/2006/relationships/image" Target="media/image355.png"/><Relationship Id="rId420" Type="http://schemas.openxmlformats.org/officeDocument/2006/relationships/image" Target="media/image356.png"/><Relationship Id="rId421" Type="http://schemas.openxmlformats.org/officeDocument/2006/relationships/image" Target="media/image357.png"/><Relationship Id="rId422" Type="http://schemas.openxmlformats.org/officeDocument/2006/relationships/image" Target="media/image358.png"/><Relationship Id="rId423" Type="http://schemas.openxmlformats.org/officeDocument/2006/relationships/image" Target="media/image359.png"/><Relationship Id="rId424" Type="http://schemas.openxmlformats.org/officeDocument/2006/relationships/image" Target="media/image360.png"/><Relationship Id="rId425" Type="http://schemas.openxmlformats.org/officeDocument/2006/relationships/image" Target="media/image361.png"/><Relationship Id="rId426" Type="http://schemas.openxmlformats.org/officeDocument/2006/relationships/image" Target="media/image362.png"/><Relationship Id="rId427" Type="http://schemas.openxmlformats.org/officeDocument/2006/relationships/image" Target="media/image363.png"/><Relationship Id="rId428" Type="http://schemas.openxmlformats.org/officeDocument/2006/relationships/image" Target="media/image364.png"/><Relationship Id="rId429" Type="http://schemas.openxmlformats.org/officeDocument/2006/relationships/image" Target="media/image365.png"/><Relationship Id="rId430" Type="http://schemas.openxmlformats.org/officeDocument/2006/relationships/image" Target="media/image366.png"/><Relationship Id="rId431" Type="http://schemas.openxmlformats.org/officeDocument/2006/relationships/image" Target="media/image367.png"/><Relationship Id="rId432" Type="http://schemas.openxmlformats.org/officeDocument/2006/relationships/image" Target="media/image368.png"/><Relationship Id="rId433" Type="http://schemas.openxmlformats.org/officeDocument/2006/relationships/image" Target="media/image369.png"/><Relationship Id="rId434" Type="http://schemas.openxmlformats.org/officeDocument/2006/relationships/image" Target="media/image370.png"/><Relationship Id="rId435" Type="http://schemas.openxmlformats.org/officeDocument/2006/relationships/image" Target="media/image371.png"/><Relationship Id="rId436" Type="http://schemas.openxmlformats.org/officeDocument/2006/relationships/image" Target="media/image372.png"/><Relationship Id="rId437" Type="http://schemas.openxmlformats.org/officeDocument/2006/relationships/image" Target="media/image373.png"/><Relationship Id="rId438" Type="http://schemas.openxmlformats.org/officeDocument/2006/relationships/image" Target="media/image374.png"/><Relationship Id="rId439" Type="http://schemas.openxmlformats.org/officeDocument/2006/relationships/image" Target="media/image375.png"/><Relationship Id="rId440" Type="http://schemas.openxmlformats.org/officeDocument/2006/relationships/image" Target="media/image376.png"/><Relationship Id="rId441" Type="http://schemas.openxmlformats.org/officeDocument/2006/relationships/image" Target="media/image377.png"/><Relationship Id="rId442" Type="http://schemas.openxmlformats.org/officeDocument/2006/relationships/image" Target="media/image378.png"/><Relationship Id="rId443" Type="http://schemas.openxmlformats.org/officeDocument/2006/relationships/image" Target="media/image379.png"/><Relationship Id="rId444" Type="http://schemas.openxmlformats.org/officeDocument/2006/relationships/image" Target="media/image380.png"/><Relationship Id="rId445" Type="http://schemas.openxmlformats.org/officeDocument/2006/relationships/image" Target="media/image381.png"/><Relationship Id="rId446" Type="http://schemas.openxmlformats.org/officeDocument/2006/relationships/image" Target="media/image382.png"/><Relationship Id="rId447" Type="http://schemas.openxmlformats.org/officeDocument/2006/relationships/image" Target="media/image383.png"/><Relationship Id="rId448" Type="http://schemas.openxmlformats.org/officeDocument/2006/relationships/image" Target="media/image384.png"/><Relationship Id="rId449" Type="http://schemas.openxmlformats.org/officeDocument/2006/relationships/image" Target="media/image385.png"/><Relationship Id="rId450" Type="http://schemas.openxmlformats.org/officeDocument/2006/relationships/image" Target="media/image386.png"/><Relationship Id="rId451" Type="http://schemas.openxmlformats.org/officeDocument/2006/relationships/image" Target="media/image387.png"/><Relationship Id="rId452" Type="http://schemas.openxmlformats.org/officeDocument/2006/relationships/image" Target="media/image388.png"/><Relationship Id="rId453" Type="http://schemas.openxmlformats.org/officeDocument/2006/relationships/image" Target="media/image389.png"/><Relationship Id="rId454" Type="http://schemas.openxmlformats.org/officeDocument/2006/relationships/image" Target="media/image390.png"/><Relationship Id="rId455" Type="http://schemas.openxmlformats.org/officeDocument/2006/relationships/image" Target="media/image391.png"/><Relationship Id="rId456" Type="http://schemas.openxmlformats.org/officeDocument/2006/relationships/image" Target="media/image392.png"/><Relationship Id="rId457" Type="http://schemas.openxmlformats.org/officeDocument/2006/relationships/image" Target="media/image393.png"/><Relationship Id="rId458" Type="http://schemas.openxmlformats.org/officeDocument/2006/relationships/image" Target="media/image394.png"/><Relationship Id="rId459" Type="http://schemas.openxmlformats.org/officeDocument/2006/relationships/image" Target="media/image395.png"/><Relationship Id="rId460" Type="http://schemas.openxmlformats.org/officeDocument/2006/relationships/image" Target="media/image396.png"/><Relationship Id="rId461" Type="http://schemas.openxmlformats.org/officeDocument/2006/relationships/image" Target="media/image397.png"/><Relationship Id="rId462" Type="http://schemas.openxmlformats.org/officeDocument/2006/relationships/image" Target="media/image398.png"/><Relationship Id="rId463" Type="http://schemas.openxmlformats.org/officeDocument/2006/relationships/image" Target="media/image399.png"/><Relationship Id="rId464" Type="http://schemas.openxmlformats.org/officeDocument/2006/relationships/image" Target="media/image400.png"/><Relationship Id="rId465" Type="http://schemas.openxmlformats.org/officeDocument/2006/relationships/image" Target="media/image401.png"/><Relationship Id="rId466" Type="http://schemas.openxmlformats.org/officeDocument/2006/relationships/image" Target="media/image402.png"/><Relationship Id="rId467" Type="http://schemas.openxmlformats.org/officeDocument/2006/relationships/image" Target="media/image403.png"/><Relationship Id="rId468" Type="http://schemas.openxmlformats.org/officeDocument/2006/relationships/image" Target="media/image404.png"/><Relationship Id="rId469" Type="http://schemas.openxmlformats.org/officeDocument/2006/relationships/image" Target="media/image405.png"/><Relationship Id="rId470" Type="http://schemas.openxmlformats.org/officeDocument/2006/relationships/image" Target="media/image406.png"/><Relationship Id="rId471" Type="http://schemas.openxmlformats.org/officeDocument/2006/relationships/image" Target="media/image407.png"/><Relationship Id="rId472" Type="http://schemas.openxmlformats.org/officeDocument/2006/relationships/image" Target="media/image408.png"/><Relationship Id="rId473" Type="http://schemas.openxmlformats.org/officeDocument/2006/relationships/image" Target="media/image409.png"/><Relationship Id="rId474" Type="http://schemas.openxmlformats.org/officeDocument/2006/relationships/image" Target="media/image410.png"/><Relationship Id="rId475" Type="http://schemas.openxmlformats.org/officeDocument/2006/relationships/image" Target="media/image411.png"/><Relationship Id="rId476" Type="http://schemas.openxmlformats.org/officeDocument/2006/relationships/image" Target="media/image412.png"/><Relationship Id="rId477" Type="http://schemas.openxmlformats.org/officeDocument/2006/relationships/image" Target="media/image413.png"/><Relationship Id="rId478" Type="http://schemas.openxmlformats.org/officeDocument/2006/relationships/image" Target="media/image414.png"/><Relationship Id="rId479" Type="http://schemas.openxmlformats.org/officeDocument/2006/relationships/image" Target="media/image415.png"/><Relationship Id="rId480" Type="http://schemas.openxmlformats.org/officeDocument/2006/relationships/image" Target="media/image416.png"/><Relationship Id="rId481" Type="http://schemas.openxmlformats.org/officeDocument/2006/relationships/image" Target="media/image417.png"/><Relationship Id="rId482" Type="http://schemas.openxmlformats.org/officeDocument/2006/relationships/image" Target="media/image418.png"/><Relationship Id="rId483" Type="http://schemas.openxmlformats.org/officeDocument/2006/relationships/image" Target="media/image419.png"/><Relationship Id="rId484" Type="http://schemas.openxmlformats.org/officeDocument/2006/relationships/image" Target="media/image420.png"/><Relationship Id="rId485" Type="http://schemas.openxmlformats.org/officeDocument/2006/relationships/image" Target="media/image421.png"/><Relationship Id="rId486" Type="http://schemas.openxmlformats.org/officeDocument/2006/relationships/image" Target="media/image422.png"/><Relationship Id="rId487" Type="http://schemas.openxmlformats.org/officeDocument/2006/relationships/image" Target="media/image423.png"/><Relationship Id="rId488" Type="http://schemas.openxmlformats.org/officeDocument/2006/relationships/image" Target="media/image424.png"/><Relationship Id="rId489" Type="http://schemas.openxmlformats.org/officeDocument/2006/relationships/image" Target="media/image425.png"/><Relationship Id="rId490" Type="http://schemas.openxmlformats.org/officeDocument/2006/relationships/image" Target="media/image426.png"/><Relationship Id="rId244" Type="http://schemas.openxmlformats.org/officeDocument/2006/relationships/hyperlink" Target="https://www.sec.gov/Archives/edgar/data/1645460/000156459020052490/cue-ex31_253.htm" TargetMode="External"/><Relationship Id="rId245" Type="http://schemas.openxmlformats.org/officeDocument/2006/relationships/hyperlink" Target="https://www.sec.gov/Archives/edgar/data/1645460/000157104917008632/t1703106_ex3-5.htm" TargetMode="External"/><Relationship Id="rId246" Type="http://schemas.openxmlformats.org/officeDocument/2006/relationships/hyperlink" Target="https://www.sec.gov/Archives/edgar/data/1645460/000157104917008632/t1703106_ex4-1.htm" TargetMode="External"/><Relationship Id="rId247" Type="http://schemas.openxmlformats.org/officeDocument/2006/relationships/hyperlink" Target="https://www.sec.gov/Archives/edgar/data/0001645460/000119312525326925/d213128dex41.htm" TargetMode="External"/><Relationship Id="rId248" Type="http://schemas.openxmlformats.org/officeDocument/2006/relationships/hyperlink" Target="https://www.sec.gov/Archives/edgar/data/0001645460/000119312525326925/d213128dex42.htm" TargetMode="External"/><Relationship Id="rId249" Type="http://schemas.openxmlformats.org/officeDocument/2006/relationships/hyperlink" Target="https://www.sec.gov/Archives/edgar/data/0001645460/000119312525081592/d923668dex41.htm" TargetMode="External"/><Relationship Id="rId250" Type="http://schemas.openxmlformats.org/officeDocument/2006/relationships/hyperlink" Target="https://www.sec.gov/Archives/edgar/data/0001645460/000119312525081592/d923668dex42.htm" TargetMode="External"/><Relationship Id="rId251" Type="http://schemas.openxmlformats.org/officeDocument/2006/relationships/hyperlink" Target="https://www.sec.gov/Archives/edgar/data/0001645460/000119312524227977/d856255dex41.htm" TargetMode="External"/><Relationship Id="rId252" Type="http://schemas.openxmlformats.org/officeDocument/2006/relationships/hyperlink" Target="https://www.sec.gov/Archives/edgar/data/0001645460/000119312524227977/d856255dex42.htm" TargetMode="External"/><Relationship Id="rId253" Type="http://schemas.openxmlformats.org/officeDocument/2006/relationships/hyperlink" Target="https://www.sec.gov/Archives/edgar/data/1645460/000119312522285792/d420848dex42.htm" TargetMode="External"/><Relationship Id="rId254" Type="http://schemas.openxmlformats.org/officeDocument/2006/relationships/hyperlink" Target="https://www.sec.gov/Archives/edgar/data/1645460/000156459021011777/cue-ex103_736.htm" TargetMode="External"/><Relationship Id="rId255" Type="http://schemas.openxmlformats.org/officeDocument/2006/relationships/hyperlink" Target="https://www.sec.gov/Archives/edgar/data/1645460/000156459021011777/cue-ex104_732.htm" TargetMode="External"/><Relationship Id="rId256" Type="http://schemas.openxmlformats.org/officeDocument/2006/relationships/hyperlink" Target="https://www.sec.gov/Archives/edgar/data/1645460/000156459021011777/cue-ex105_733.htm" TargetMode="External"/><Relationship Id="rId257" Type="http://schemas.openxmlformats.org/officeDocument/2006/relationships/hyperlink" Target="https://www.sec.gov/Archives/edgar/data/1645460/000156459021011777/cue-ex106_730.htm" TargetMode="External"/><Relationship Id="rId260" Type="http://schemas.openxmlformats.org/officeDocument/2006/relationships/hyperlink" Target="https://www.sec.gov/Archives/edgar/data/1645460/000156459021011777/cue-ex107_735.htm" TargetMode="External"/><Relationship Id="rId263" Type="http://schemas.openxmlformats.org/officeDocument/2006/relationships/hyperlink" Target="https://www.sec.gov/Archives/edgar/data/1645460/000156459021011777/cue-ex108_734.htm" TargetMode="External"/><Relationship Id="rId266" Type="http://schemas.openxmlformats.org/officeDocument/2006/relationships/hyperlink" Target="https://www.sec.gov/Archives/edgar/data/1645460/000156459021011777/cue-ex109_731.htm" TargetMode="External"/><Relationship Id="rId270" Type="http://schemas.openxmlformats.org/officeDocument/2006/relationships/hyperlink" Target="https://www.sec.gov/Archives/edgar/data/1645460/000156459021011777/cue-ex1010_729.htm" TargetMode="External"/><Relationship Id="rId273" Type="http://schemas.openxmlformats.org/officeDocument/2006/relationships/hyperlink" Target="https://www.sec.gov/Archives/edgar/data/0001645460/000095017025047677/cue-ex10_11.htm" TargetMode="External"/><Relationship Id="rId276" Type="http://schemas.openxmlformats.org/officeDocument/2006/relationships/hyperlink" Target="https://www.sec.gov/Archives/edgar/data/0001645460/000095017025047677/cue-ex10_12.htm" TargetMode="External"/><Relationship Id="rId279" Type="http://schemas.openxmlformats.org/officeDocument/2006/relationships/hyperlink" Target="https://www.sec.gov/Archives/edgar/data/1645460/000157104917008698/t1703167_ex10-11.htm" TargetMode="External"/><Relationship Id="rId283" Type="http://schemas.openxmlformats.org/officeDocument/2006/relationships/hyperlink" Target="https://www.sec.gov/Archives/edgar/data/0001645460/000095017025069125/cue-ex10_2.htm" TargetMode="External"/><Relationship Id="rId286" Type="http://schemas.openxmlformats.org/officeDocument/2006/relationships/hyperlink" Target="https://www.sec.gov/Archives/edgar/data/1645460/000095017025084279/cue-ex99_1.htm" TargetMode="External"/><Relationship Id="rId291" Type="http://schemas.openxmlformats.org/officeDocument/2006/relationships/hyperlink" Target="https://www.sec.gov/Archives/edgar/data/1645460/000114420417048994/v475194_ex10-13.htm" TargetMode="External"/><Relationship Id="rId294" Type="http://schemas.openxmlformats.org/officeDocument/2006/relationships/hyperlink" Target="https://www.sec.gov/Archives/edgar/data/0001645460/000095017024096967/cue-ex10_1.htm" TargetMode="External"/><Relationship Id="rId296" Type="http://schemas.openxmlformats.org/officeDocument/2006/relationships/hyperlink" Target="https://www.sec.gov/Archives/edgar/data/1645460/000114420417048994/v475194_ex10-15.htm" TargetMode="External"/><Relationship Id="rId298" Type="http://schemas.openxmlformats.org/officeDocument/2006/relationships/hyperlink" Target="https://www.sec.gov/Archives/edgar/data/0001645460/000095017024096967/cue-ex10_2.htm" TargetMode="External"/><Relationship Id="rId302" Type="http://schemas.openxmlformats.org/officeDocument/2006/relationships/hyperlink" Target="https://www.sec.gov/Archives/edgar/data/1645460/000157104917008632/t1703106_ex10-22.htm" TargetMode="External"/><Relationship Id="rId305" Type="http://schemas.openxmlformats.org/officeDocument/2006/relationships/hyperlink" Target="https://www.sec.gov/Archives/edgar/data/1645460/000119312518358131/d677625dex101.htm" TargetMode="External"/><Relationship Id="rId308" Type="http://schemas.openxmlformats.org/officeDocument/2006/relationships/hyperlink" Target="https://www.sec.gov/Archives/edgar/data/1645460/000156459020010212/cue-ex1016_460.htm" TargetMode="External"/><Relationship Id="rId312" Type="http://schemas.openxmlformats.org/officeDocument/2006/relationships/hyperlink" Target="https://www.sec.gov/Archives/edgar/data/1645460/000156459021011777/cue-ex1026_791.htm" TargetMode="External"/><Relationship Id="rId315" Type="http://schemas.openxmlformats.org/officeDocument/2006/relationships/hyperlink" Target="https://www.sec.gov/Archives/edgar/data/1645460/000119312520228378/d36717dex101.htm" TargetMode="External"/><Relationship Id="rId318" Type="http://schemas.openxmlformats.org/officeDocument/2006/relationships/hyperlink" Target="https://www.sec.gov/Archives/edgar/data/0001645460/000119312525277466/cue-ex10_1.htm" TargetMode="External"/><Relationship Id="rId325" Type="http://schemas.openxmlformats.org/officeDocument/2006/relationships/hyperlink" Target="https://www.sec.gov/Archives/edgar/data/0001645460/000119312525277466/cue-ex10_2.htm" TargetMode="External"/><Relationship Id="rId328" Type="http://schemas.openxmlformats.org/officeDocument/2006/relationships/hyperlink" Target="https://www.sec.gov/Archives/edgar/data/0001645460/000119312525277466/cue-ex10_3.htm" TargetMode="External"/><Relationship Id="rId331" Type="http://schemas.openxmlformats.org/officeDocument/2006/relationships/hyperlink" Target="https://www.sec.gov/Archives/edgar/data/1645460/000156459021011777/cue-ex1030_792.htm" TargetMode="External"/><Relationship Id="rId334" Type="http://schemas.openxmlformats.org/officeDocument/2006/relationships/hyperlink" Target="https://www.sec.gov/Archives/edgar/data/1645460/000156459021055766/cue-ex101_109.htm" TargetMode="External"/><Relationship Id="rId338" Type="http://schemas.openxmlformats.org/officeDocument/2006/relationships/hyperlink" Target="https://www.sec.gov/Archives/edgar/data/1645460/000119312522089787/d339157dex101.htm" TargetMode="External"/><Relationship Id="rId341" Type="http://schemas.openxmlformats.org/officeDocument/2006/relationships/hyperlink" Target="https://www.sec.gov/Archives/edgar/data/1645460/000095017022014747/cue-ex10_1.htm" TargetMode="External"/><Relationship Id="rId344" Type="http://schemas.openxmlformats.org/officeDocument/2006/relationships/hyperlink" Target="https://www.sec.gov/Archives/edgar/data/1645460/000095017022014747/cue-ex10_2.htm" TargetMode="External"/><Relationship Id="rId347" Type="http://schemas.openxmlformats.org/officeDocument/2006/relationships/hyperlink" Target="https://www.sec.gov/Archives/edgar/data/0001645460/000095017025047677/cue-ex10_31.htm" TargetMode="External"/><Relationship Id="rId350" Type="http://schemas.openxmlformats.org/officeDocument/2006/relationships/hyperlink" Target="https://www.sec.gov/Archives/edgar/data/0001645460/000095017025047677/cue-ex10_32.htm" TargetMode="External"/><Relationship Id="rId353" Type="http://schemas.openxmlformats.org/officeDocument/2006/relationships/hyperlink" Target="https://www.sec.gov/Archives/edgar/data/0001645460/000095017025107270/cue-ex10_2.htm" TargetMode="External"/><Relationship Id="rId356" Type="http://schemas.openxmlformats.org/officeDocument/2006/relationships/hyperlink" Target="https://www.sec.gov/Archives/edgar/data/1645460/000095017022024991/cue-ex10_1.htm" TargetMode="External"/><Relationship Id="rId360" Type="http://schemas.openxmlformats.org/officeDocument/2006/relationships/hyperlink" Target="https://www.sec.gov/Archives/edgar/data/1645460/000119312522285792/d420848dex101.htm" TargetMode="External"/><Relationship Id="rId361" Type="http://schemas.openxmlformats.org/officeDocument/2006/relationships/hyperlink" Target="https://www.sec.gov/Archives/edgar/data/1645460/000119312522285792/d420848dex102.htm" TargetMode="External"/><Relationship Id="rId362" Type="http://schemas.openxmlformats.org/officeDocument/2006/relationships/hyperlink" Target="https://www.sec.gov/Archives/edgar/data/1645460/000095017023019646/cue-ex10_2.htm" TargetMode="External"/><Relationship Id="rId363" Type="http://schemas.openxmlformats.org/officeDocument/2006/relationships/hyperlink" Target="https://www.sec.gov/Archives/edgar/data/0001645460/000095017024112887/cue-ex10_1.htm" TargetMode="External"/><Relationship Id="rId364" Type="http://schemas.openxmlformats.org/officeDocument/2006/relationships/hyperlink" Target="https://www.sec.gov/Archives/edgar/data/1645460/000095017023039770/cue-ex10_1.htm" TargetMode="External"/><Relationship Id="rId365" Type="http://schemas.openxmlformats.org/officeDocument/2006/relationships/hyperlink" Target="https://www.sec.gov/Archives/edgar/data/1645460/000095017023039770/cue-ex10_2.htm" TargetMode="External"/><Relationship Id="rId366" Type="http://schemas.openxmlformats.org/officeDocument/2006/relationships/hyperlink" Target="https://www.sec.gov/Archives/edgar/data/1645460/000095017023039770/cue-ex10_3.htm" TargetMode="External"/><Relationship Id="rId367" Type="http://schemas.openxmlformats.org/officeDocument/2006/relationships/hyperlink" Target="https://www.sec.gov/Archives/edgar/data/1645460/000095017023058838/cue-ex10_1.htm" TargetMode="External"/><Relationship Id="rId368" Type="http://schemas.openxmlformats.org/officeDocument/2006/relationships/hyperlink" Target="https://www.sec.gov/Archives/edgar/data/0001645460/000095017024038059/cue-ex10_38.htm" TargetMode="External"/><Relationship Id="rId369" Type="http://schemas.openxmlformats.org/officeDocument/2006/relationships/hyperlink" Target="https://www.sec.gov/Archives/edgar/data/0001645460/000095017025069125/cue-ex10_3.htm" TargetMode="External"/><Relationship Id="rId370" Type="http://schemas.openxmlformats.org/officeDocument/2006/relationships/hyperlink" Target="https://www.sec.gov/Archives/edgar/data/0001645460/000095017025047677/cue-ex10_43.htm" TargetMode="External"/><Relationship Id="rId371" Type="http://schemas.openxmlformats.org/officeDocument/2006/relationships/hyperlink" Target="https://www.sec.gov/Archives/edgar/data/0001645460/000095017025047677/cue-ex19_1.htm" TargetMode="External"/><Relationship Id="rId373" Type="http://schemas.openxmlformats.org/officeDocument/2006/relationships/hyperlink" Target="https://www.sec.gov/Archives/edgar/data/0001645460/000095017024038059/cue-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2026-03-16T15:17:36Z</dcterms:created>
  <dcterms:modified xsi:type="dcterms:W3CDTF">2026-03-16T15:17:36Z</dcterms:modified>
</cp:coreProperties>
</file>